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52"/>
          <w:szCs w:val="52"/>
          <w:lang w:eastAsia="pl-PL"/>
        </w:rPr>
      </w:pPr>
      <w:bookmarkStart w:id="0" w:name="_GoBack"/>
      <w:bookmarkEnd w:id="0"/>
      <w:r w:rsidRPr="005C6760">
        <w:rPr>
          <w:rFonts w:ascii="Times New Roman" w:eastAsia="Times New Roman" w:hAnsi="Times New Roman" w:cs="Times New Roman"/>
          <w:b/>
          <w:sz w:val="52"/>
          <w:szCs w:val="52"/>
          <w:lang w:eastAsia="pl-PL"/>
        </w:rPr>
        <w:t>D – 08.01.01b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32"/>
          <w:szCs w:val="20"/>
          <w:lang w:eastAsia="pl-PL"/>
        </w:rPr>
        <w:t>USTAWIENIE  KRAWĘŻNIKÓW  BETONOWYCH</w:t>
      </w:r>
    </w:p>
    <w:p w:rsidR="00DD02EE" w:rsidRDefault="00DD02EE" w:rsidP="005C6760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" w:name="_Toc404150096"/>
      <w:bookmarkStart w:id="2" w:name="_Toc416830698"/>
      <w:bookmarkStart w:id="3" w:name="_Toc141496947"/>
    </w:p>
    <w:p w:rsidR="00DD02EE" w:rsidRDefault="00DD02EE" w:rsidP="005C6760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</w:p>
    <w:p w:rsidR="005C6760" w:rsidRPr="005C6760" w:rsidRDefault="005C6760" w:rsidP="005C6760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1. WSTĘP</w:t>
      </w:r>
      <w:bookmarkEnd w:id="1"/>
      <w:bookmarkEnd w:id="2"/>
      <w:bookmarkEnd w:id="3"/>
    </w:p>
    <w:p w:rsidR="005C6760" w:rsidRPr="005C6760" w:rsidRDefault="00D176D4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1.1. Przedmiot S</w:t>
      </w:r>
      <w:r w:rsidR="005C6760"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ST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Przedmiotem niniejszej </w:t>
      </w:r>
      <w:r w:rsidR="00D176D4">
        <w:rPr>
          <w:rFonts w:ascii="Times New Roman" w:eastAsia="Times New Roman" w:hAnsi="Times New Roman" w:cs="Times New Roman"/>
          <w:sz w:val="20"/>
          <w:szCs w:val="20"/>
          <w:lang w:eastAsia="pl-PL"/>
        </w:rPr>
        <w:t>szczegółowej specyfikacji technicznej (S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ST) są wymagania dotyczące wykonania i odbioru robót związanych z ustawieniem krawężników betonowych wraz z wykonaniem ław.</w:t>
      </w:r>
    </w:p>
    <w:p w:rsidR="005C6760" w:rsidRPr="005C6760" w:rsidRDefault="00D176D4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1.2</w:t>
      </w:r>
      <w:r w:rsidR="00020BA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. Zakres robót objętych S</w:t>
      </w:r>
      <w:r w:rsidR="005C6760"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ST</w:t>
      </w:r>
    </w:p>
    <w:p w:rsidR="00020BAA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Ustalenia zawarte w niniejszej specyfikacji dotyczą zasad prowadzenia robót związanych 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 wykonaniem i odbiorem ustawienia krawężników betonowych typu ulicznego i </w:t>
      </w:r>
      <w:r w:rsidR="00020BA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oporników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na ława</w:t>
      </w:r>
      <w:r w:rsidR="00020BAA">
        <w:rPr>
          <w:rFonts w:ascii="Times New Roman" w:eastAsia="Times New Roman" w:hAnsi="Times New Roman" w:cs="Times New Roman"/>
          <w:sz w:val="20"/>
          <w:szCs w:val="20"/>
          <w:lang w:eastAsia="pl-PL"/>
        </w:rPr>
        <w:t>ch betonowych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:rsidR="005C6760" w:rsidRPr="005C6760" w:rsidRDefault="00D176D4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1.3</w:t>
      </w:r>
      <w:r w:rsidR="005C6760"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. Określenia podstawowe</w:t>
      </w:r>
    </w:p>
    <w:p w:rsidR="00020BAA" w:rsidRDefault="00D176D4" w:rsidP="005C6760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1.3</w:t>
      </w:r>
      <w:r w:rsidR="005C6760"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.1. </w:t>
      </w:r>
      <w:r w:rsidR="005C6760"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Krawężnik betonowy – prefabrykat betonowy, przeznaczony do oddzielenia powierzchni znajdujących się na tym samym poziomie lub na różnych poziomach stosowany: </w:t>
      </w:r>
    </w:p>
    <w:p w:rsidR="00020BAA" w:rsidRDefault="005C6760" w:rsidP="005C6760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a) w celu ograniczania lub wyznaczania granicy rzeczywistej lub wizualnej,            </w:t>
      </w:r>
    </w:p>
    <w:p w:rsidR="00020BAA" w:rsidRDefault="005C6760" w:rsidP="005C6760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b) jako kanały odpływowe, oddzielnie lub w połączeniu z innymi krawężnikami, 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c) jako oddzielenie pomiędzy powierzchniami poddanymi różnym rodzajom ruchu drogowego.</w:t>
      </w: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</w:p>
    <w:p w:rsidR="005C6760" w:rsidRPr="005C6760" w:rsidRDefault="00D176D4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1.3</w:t>
      </w:r>
      <w:r w:rsidR="005C6760"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.2. </w:t>
      </w:r>
      <w:r w:rsidR="005C6760"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Wymiar nominalny – wymiar krawężnika określony w celu jego wykonania, któremu powinien odpowiadać wymiar rzeczywisty w określonych granicach dopuszczalnych odchyłek.</w:t>
      </w:r>
    </w:p>
    <w:p w:rsidR="005C6760" w:rsidRPr="005C6760" w:rsidRDefault="00D176D4" w:rsidP="005C6760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1.3</w:t>
      </w:r>
      <w:r w:rsidR="005C6760"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.3. </w:t>
      </w:r>
      <w:r w:rsidR="005C6760"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Pozostałe określenia podstawowe są zgodne z obowiązującymi, odpowiednimi polskimi normami i z definicjami podanymi w OST D-M-00.00.00 „Wymagania ogólne”[1] pkt 1.4.</w:t>
      </w:r>
    </w:p>
    <w:p w:rsidR="005C6760" w:rsidRPr="005C6760" w:rsidRDefault="00D176D4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1.4</w:t>
      </w:r>
      <w:r w:rsidR="005C6760"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. Ogólne wymagania dotyczące robót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wymagania dotyczące robót podano w OST D-M-00.00.00 „Wymagania ogólne” [1] pkt 1.5.</w:t>
      </w:r>
    </w:p>
    <w:p w:rsidR="005C6760" w:rsidRPr="005C6760" w:rsidRDefault="005C6760" w:rsidP="005C6760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4" w:name="_2._MATERIAŁY_1"/>
      <w:bookmarkStart w:id="5" w:name="_Toc141072304"/>
      <w:bookmarkStart w:id="6" w:name="_Toc141496948"/>
      <w:bookmarkEnd w:id="4"/>
      <w:r w:rsidRPr="005C6760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2. MATERIAŁY</w:t>
      </w:r>
      <w:bookmarkEnd w:id="5"/>
      <w:bookmarkEnd w:id="6"/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2.1. Ogólne wymagania dotyczące materiałów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wymagania dotyczące materiałów, ich pozyskiwania i składowania, podano w  OST D-M-00.00.00 „Wymagania ogólne” pkt 2.</w:t>
      </w:r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2.2. Materiały do wykonania robót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2.2.1.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Zgodność materiałów z dokumentacją projektową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Materiały do wykonania robót powinny być zgodne z ustaleniami dokumentacji projektowej lub SST.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2.2.2.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Stosowane materiały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Przy ustawianiu krawężników na ławach można stosować następujące materiały:</w:t>
      </w:r>
    </w:p>
    <w:p w:rsidR="005C6760" w:rsidRPr="005C6760" w:rsidRDefault="005C6760" w:rsidP="005C676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krawężniki </w:t>
      </w:r>
      <w:r w:rsidR="00020BA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i oporniki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betonowe,</w:t>
      </w:r>
    </w:p>
    <w:p w:rsidR="005C6760" w:rsidRPr="005C6760" w:rsidRDefault="005C6760" w:rsidP="005C676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piasek na podsypkę i do zapraw,</w:t>
      </w:r>
    </w:p>
    <w:p w:rsidR="005C6760" w:rsidRPr="005C6760" w:rsidRDefault="005C6760" w:rsidP="005C676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cement do podsypki i do zapraw,</w:t>
      </w:r>
    </w:p>
    <w:p w:rsidR="005C6760" w:rsidRPr="005C6760" w:rsidRDefault="005C6760" w:rsidP="005C676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wodę,</w:t>
      </w:r>
    </w:p>
    <w:p w:rsidR="005C6760" w:rsidRPr="005C6760" w:rsidRDefault="005C6760" w:rsidP="005C676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materiały do wykonania ławy.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2.2.3.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Krawężniki betonowe</w:t>
      </w:r>
    </w:p>
    <w:p w:rsidR="00D176D4" w:rsidRDefault="00D176D4" w:rsidP="005C6760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2.2.3.1. Wymagania ogólne wobec krawężników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Krawężniki betonowe mogą mieć następujące cechy charakterystyczne:</w:t>
      </w:r>
    </w:p>
    <w:p w:rsidR="005C6760" w:rsidRPr="005C6760" w:rsidRDefault="005C6760" w:rsidP="005C676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krawężnik może być produkowany:</w:t>
      </w:r>
    </w:p>
    <w:p w:rsidR="005C6760" w:rsidRPr="005C6760" w:rsidRDefault="005C6760" w:rsidP="005C6760">
      <w:pPr>
        <w:numPr>
          <w:ilvl w:val="1"/>
          <w:numId w:val="2"/>
        </w:numPr>
        <w:tabs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hanging="68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z jednego rodzaju betonu,</w:t>
      </w:r>
    </w:p>
    <w:p w:rsidR="005C6760" w:rsidRPr="005C6760" w:rsidRDefault="005C6760" w:rsidP="005C6760">
      <w:pPr>
        <w:numPr>
          <w:ilvl w:val="1"/>
          <w:numId w:val="2"/>
        </w:numPr>
        <w:tabs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 różnych betonów zastosowanych w warstwie konstrukcyjnej oraz w warstwie ścieralnej (która na całej powierzchni deklarowanej przez producenta jako powierzchnia widoczna powinna mieć minimalną grubość </w:t>
      </w:r>
      <w:smartTag w:uri="urn:schemas-microsoft-com:office:smarttags" w:element="metricconverter">
        <w:smartTagPr>
          <w:attr w:name="ProductID" w:val="4 m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4 mm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),</w:t>
      </w:r>
    </w:p>
    <w:p w:rsidR="005C6760" w:rsidRPr="005C6760" w:rsidRDefault="005C6760" w:rsidP="005C676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skośne krawędzie krawężnika powyżej </w:t>
      </w:r>
      <w:smartTag w:uri="urn:schemas-microsoft-com:office:smarttags" w:element="metricconverter">
        <w:smartTagPr>
          <w:attr w:name="ProductID" w:val="2 m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2 mm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powinny być określone jako fazowane, z wymiarami deklarowanymi przez producenta,</w:t>
      </w:r>
    </w:p>
    <w:p w:rsidR="005C6760" w:rsidRPr="005C6760" w:rsidRDefault="005C6760" w:rsidP="005C676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krawężnik może mieć profile funkcjonalne i/lub dekoracyjne (których nie uwzględnia się przy określaniu wymiarów nominalnych krawężnika); zalecana długość prostego odcinka krawężnika wraz ze złączem wynosi </w:t>
      </w:r>
      <w:smartTag w:uri="urn:schemas-microsoft-com:office:smarttags" w:element="metricconverter">
        <w:smartTagPr>
          <w:attr w:name="ProductID" w:val="1000 m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1000 mm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</w:p>
    <w:p w:rsidR="005C6760" w:rsidRPr="005C6760" w:rsidRDefault="005C6760" w:rsidP="005C676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powierzchnia krawężnika może być obrabiana, poddana dodatkowej obróbce lub obróbce chemicznej,</w:t>
      </w:r>
    </w:p>
    <w:p w:rsidR="005C6760" w:rsidRPr="005C6760" w:rsidRDefault="005C6760" w:rsidP="005C676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płaszczyzny czołowe krawężników mogą być proste lub ukształtowane w sposób ułatwiający układanie lub ryglowanie (przykłady w zał. 1),</w:t>
      </w:r>
    </w:p>
    <w:p w:rsidR="005C6760" w:rsidRPr="005C6760" w:rsidRDefault="005C6760" w:rsidP="005C676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krawężniki łukowe mogą być wykonane jako wypukłe lub wklęsłe (przykłady w zał. 2),</w:t>
      </w:r>
    </w:p>
    <w:p w:rsidR="005C6760" w:rsidRPr="005C6760" w:rsidRDefault="005C6760" w:rsidP="005C676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rozróżnia się dwa typy krawężników (przykłady w zał. 3):</w:t>
      </w:r>
    </w:p>
    <w:p w:rsidR="005C6760" w:rsidRPr="005C6760" w:rsidRDefault="005C6760" w:rsidP="005C6760">
      <w:pPr>
        <w:numPr>
          <w:ilvl w:val="1"/>
          <w:numId w:val="2"/>
        </w:numPr>
        <w:tabs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uliczne, do oddzielenia powierzchni znajdujących się na różnych poziomach (np. jezdni i chodnika),</w:t>
      </w:r>
    </w:p>
    <w:p w:rsidR="005C6760" w:rsidRPr="005C6760" w:rsidRDefault="005C6760" w:rsidP="005C6760">
      <w:pPr>
        <w:numPr>
          <w:ilvl w:val="1"/>
          <w:numId w:val="2"/>
        </w:numPr>
        <w:tabs>
          <w:tab w:val="num" w:pos="567"/>
        </w:tabs>
        <w:overflowPunct w:val="0"/>
        <w:autoSpaceDE w:val="0"/>
        <w:autoSpaceDN w:val="0"/>
        <w:adjustRightInd w:val="0"/>
        <w:spacing w:after="0" w:line="240" w:lineRule="auto"/>
        <w:ind w:left="567" w:hanging="283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drogowe, do oddzielenia powierzchni znajdujących się na tym samym poziomie (np. jezdni i pobocza).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2.2.3.2. Wymagania techniczne wobec krawężników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Wymagania techniczne stawiane krawężnikom betonowym określa PN-EN 1340 [5] w sposób przedstawiony w tablicy 1.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120" w:line="240" w:lineRule="auto"/>
        <w:ind w:left="992" w:hanging="992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1. Wymagania wobec krawężnika betonowego, ustalone w</w:t>
      </w:r>
      <w:r w:rsidR="00D176D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PN-EN 1340 [5]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do stosowania w warunkach kontaktu z solą odladzającą w warunkach mrozu</w:t>
      </w:r>
    </w:p>
    <w:tbl>
      <w:tblPr>
        <w:tblW w:w="7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126"/>
        <w:gridCol w:w="850"/>
        <w:gridCol w:w="723"/>
        <w:gridCol w:w="1404"/>
        <w:gridCol w:w="1842"/>
      </w:tblGrid>
      <w:tr w:rsidR="005C6760" w:rsidRPr="005C6760" w:rsidTr="005C6760">
        <w:tc>
          <w:tcPr>
            <w:tcW w:w="534" w:type="dxa"/>
            <w:tcBorders>
              <w:bottom w:val="double" w:sz="4" w:space="0" w:color="auto"/>
            </w:tcBorders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Cecha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Załącznik</w:t>
            </w:r>
          </w:p>
        </w:tc>
        <w:tc>
          <w:tcPr>
            <w:tcW w:w="3969" w:type="dxa"/>
            <w:gridSpan w:val="3"/>
            <w:tcBorders>
              <w:bottom w:val="double" w:sz="4" w:space="0" w:color="auto"/>
            </w:tcBorders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Wymagania</w:t>
            </w:r>
          </w:p>
        </w:tc>
      </w:tr>
      <w:tr w:rsidR="005C6760" w:rsidRPr="005C6760" w:rsidTr="005C6760">
        <w:tc>
          <w:tcPr>
            <w:tcW w:w="534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6945" w:type="dxa"/>
            <w:gridSpan w:val="5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Kształt i wymiary</w:t>
            </w:r>
          </w:p>
        </w:tc>
      </w:tr>
      <w:tr w:rsidR="005C6760" w:rsidRPr="005C6760" w:rsidTr="005C6760">
        <w:tc>
          <w:tcPr>
            <w:tcW w:w="534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1.1</w:t>
            </w:r>
          </w:p>
        </w:tc>
        <w:tc>
          <w:tcPr>
            <w:tcW w:w="2126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Wartości dopuszczalnych od-</w:t>
            </w:r>
            <w:proofErr w:type="spellStart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chyłek</w:t>
            </w:r>
            <w:proofErr w:type="spellEnd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od wymiarów </w:t>
            </w:r>
            <w:proofErr w:type="spellStart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nomi-nalnych</w:t>
            </w:r>
            <w:proofErr w:type="spellEnd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, z dokładnością do milimetra</w:t>
            </w:r>
          </w:p>
        </w:tc>
        <w:tc>
          <w:tcPr>
            <w:tcW w:w="850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3969" w:type="dxa"/>
            <w:gridSpan w:val="3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Długość: ± 1%, ≥ </w:t>
            </w:r>
            <w:smartTag w:uri="urn:schemas-microsoft-com:office:smarttags" w:element="metricconverter">
              <w:smartTagPr>
                <w:attr w:name="ProductID" w:val="4 mm"/>
              </w:smartTagPr>
              <w:r w:rsidRPr="005C6760">
                <w:rPr>
                  <w:rFonts w:ascii="Times New Roman" w:eastAsia="Times New Roman" w:hAnsi="Times New Roman" w:cs="Times New Roman"/>
                  <w:sz w:val="16"/>
                  <w:szCs w:val="16"/>
                  <w:lang w:eastAsia="pl-PL"/>
                </w:rPr>
                <w:t>4 mm</w:t>
              </w:r>
            </w:smartTag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i ≤ </w:t>
            </w:r>
            <w:smartTag w:uri="urn:schemas-microsoft-com:office:smarttags" w:element="metricconverter">
              <w:smartTagPr>
                <w:attr w:name="ProductID" w:val="10 mm"/>
              </w:smartTagPr>
              <w:r w:rsidRPr="005C6760">
                <w:rPr>
                  <w:rFonts w:ascii="Times New Roman" w:eastAsia="Times New Roman" w:hAnsi="Times New Roman" w:cs="Times New Roman"/>
                  <w:sz w:val="16"/>
                  <w:szCs w:val="16"/>
                  <w:lang w:eastAsia="pl-PL"/>
                </w:rPr>
                <w:t>10 mm</w:t>
              </w:r>
            </w:smartTag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Inne wymiary z wyjątkiem promienia:</w:t>
            </w:r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- dla powierzchni: ± 3%, ≥ </w:t>
            </w:r>
            <w:smartTag w:uri="urn:schemas-microsoft-com:office:smarttags" w:element="metricconverter">
              <w:smartTagPr>
                <w:attr w:name="ProductID" w:val="3 mm"/>
              </w:smartTagPr>
              <w:r w:rsidRPr="005C6760">
                <w:rPr>
                  <w:rFonts w:ascii="Times New Roman" w:eastAsia="Times New Roman" w:hAnsi="Times New Roman" w:cs="Times New Roman"/>
                  <w:sz w:val="16"/>
                  <w:szCs w:val="16"/>
                  <w:lang w:eastAsia="pl-PL"/>
                </w:rPr>
                <w:t>3 mm</w:t>
              </w:r>
            </w:smartTag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, ≤ </w:t>
            </w:r>
            <w:smartTag w:uri="urn:schemas-microsoft-com:office:smarttags" w:element="metricconverter">
              <w:smartTagPr>
                <w:attr w:name="ProductID" w:val="5 mm"/>
              </w:smartTagPr>
              <w:r w:rsidRPr="005C6760">
                <w:rPr>
                  <w:rFonts w:ascii="Times New Roman" w:eastAsia="Times New Roman" w:hAnsi="Times New Roman" w:cs="Times New Roman"/>
                  <w:sz w:val="16"/>
                  <w:szCs w:val="16"/>
                  <w:lang w:eastAsia="pl-PL"/>
                </w:rPr>
                <w:t>5 mm</w:t>
              </w:r>
            </w:smartTag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,</w:t>
            </w:r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- dla innych części: ± 5%, ≥ </w:t>
            </w:r>
            <w:smartTag w:uri="urn:schemas-microsoft-com:office:smarttags" w:element="metricconverter">
              <w:smartTagPr>
                <w:attr w:name="ProductID" w:val="3 mm"/>
              </w:smartTagPr>
              <w:r w:rsidRPr="005C6760">
                <w:rPr>
                  <w:rFonts w:ascii="Times New Roman" w:eastAsia="Times New Roman" w:hAnsi="Times New Roman" w:cs="Times New Roman"/>
                  <w:sz w:val="16"/>
                  <w:szCs w:val="16"/>
                  <w:lang w:eastAsia="pl-PL"/>
                </w:rPr>
                <w:t>3 mm</w:t>
              </w:r>
            </w:smartTag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,  ≤ </w:t>
            </w:r>
            <w:smartTag w:uri="urn:schemas-microsoft-com:office:smarttags" w:element="metricconverter">
              <w:smartTagPr>
                <w:attr w:name="ProductID" w:val="10 mm"/>
              </w:smartTagPr>
              <w:r w:rsidRPr="005C6760">
                <w:rPr>
                  <w:rFonts w:ascii="Times New Roman" w:eastAsia="Times New Roman" w:hAnsi="Times New Roman" w:cs="Times New Roman"/>
                  <w:sz w:val="16"/>
                  <w:szCs w:val="16"/>
                  <w:lang w:eastAsia="pl-PL"/>
                </w:rPr>
                <w:t>10 mm</w:t>
              </w:r>
            </w:smartTag>
          </w:p>
        </w:tc>
      </w:tr>
      <w:tr w:rsidR="005C6760" w:rsidRPr="005C6760" w:rsidTr="005C6760">
        <w:tc>
          <w:tcPr>
            <w:tcW w:w="534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1.2</w:t>
            </w:r>
          </w:p>
        </w:tc>
        <w:tc>
          <w:tcPr>
            <w:tcW w:w="2126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Dopuszczalne odchyłki od płaskości i prostoliniowości, dla długości pomiarowej</w:t>
            </w:r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smartTag w:uri="urn:schemas-microsoft-com:office:smarttags" w:element="metricconverter">
              <w:smartTagPr>
                <w:attr w:name="ProductID" w:val="300 mm"/>
              </w:smartTagPr>
              <w:r w:rsidRPr="005C6760">
                <w:rPr>
                  <w:rFonts w:ascii="Times New Roman" w:eastAsia="Times New Roman" w:hAnsi="Times New Roman" w:cs="Times New Roman"/>
                  <w:sz w:val="16"/>
                  <w:szCs w:val="16"/>
                  <w:lang w:eastAsia="pl-PL"/>
                </w:rPr>
                <w:t>300 mm</w:t>
              </w:r>
            </w:smartTag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smartTag w:uri="urn:schemas-microsoft-com:office:smarttags" w:element="metricconverter">
              <w:smartTagPr>
                <w:attr w:name="ProductID" w:val="400 mm"/>
              </w:smartTagPr>
              <w:r w:rsidRPr="005C6760">
                <w:rPr>
                  <w:rFonts w:ascii="Times New Roman" w:eastAsia="Times New Roman" w:hAnsi="Times New Roman" w:cs="Times New Roman"/>
                  <w:sz w:val="16"/>
                  <w:szCs w:val="16"/>
                  <w:lang w:eastAsia="pl-PL"/>
                </w:rPr>
                <w:t>400 mm</w:t>
              </w:r>
            </w:smartTag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smartTag w:uri="urn:schemas-microsoft-com:office:smarttags" w:element="metricconverter">
              <w:smartTagPr>
                <w:attr w:name="ProductID" w:val="500 mm"/>
              </w:smartTagPr>
              <w:r w:rsidRPr="005C6760">
                <w:rPr>
                  <w:rFonts w:ascii="Times New Roman" w:eastAsia="Times New Roman" w:hAnsi="Times New Roman" w:cs="Times New Roman"/>
                  <w:sz w:val="16"/>
                  <w:szCs w:val="16"/>
                  <w:lang w:eastAsia="pl-PL"/>
                </w:rPr>
                <w:t>500 mm</w:t>
              </w:r>
            </w:smartTag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smartTag w:uri="urn:schemas-microsoft-com:office:smarttags" w:element="metricconverter">
              <w:smartTagPr>
                <w:attr w:name="ProductID" w:val="800 mm"/>
              </w:smartTagPr>
              <w:r w:rsidRPr="005C6760">
                <w:rPr>
                  <w:rFonts w:ascii="Times New Roman" w:eastAsia="Times New Roman" w:hAnsi="Times New Roman" w:cs="Times New Roman"/>
                  <w:sz w:val="16"/>
                  <w:szCs w:val="16"/>
                  <w:lang w:eastAsia="pl-PL"/>
                </w:rPr>
                <w:t>800 mm</w:t>
              </w:r>
            </w:smartTag>
          </w:p>
        </w:tc>
        <w:tc>
          <w:tcPr>
            <w:tcW w:w="850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C</w:t>
            </w:r>
          </w:p>
        </w:tc>
        <w:tc>
          <w:tcPr>
            <w:tcW w:w="3969" w:type="dxa"/>
            <w:gridSpan w:val="3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± </w:t>
            </w:r>
            <w:smartTag w:uri="urn:schemas-microsoft-com:office:smarttags" w:element="metricconverter">
              <w:smartTagPr>
                <w:attr w:name="ProductID" w:val="1,5 mm"/>
              </w:smartTagPr>
              <w:r w:rsidRPr="005C6760">
                <w:rPr>
                  <w:rFonts w:ascii="Times New Roman" w:eastAsia="Times New Roman" w:hAnsi="Times New Roman" w:cs="Times New Roman"/>
                  <w:sz w:val="16"/>
                  <w:szCs w:val="16"/>
                  <w:lang w:eastAsia="pl-PL"/>
                </w:rPr>
                <w:t>1,5 mm</w:t>
              </w:r>
            </w:smartTag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± </w:t>
            </w:r>
            <w:smartTag w:uri="urn:schemas-microsoft-com:office:smarttags" w:element="metricconverter">
              <w:smartTagPr>
                <w:attr w:name="ProductID" w:val="2,0 mm"/>
              </w:smartTagPr>
              <w:r w:rsidRPr="005C6760">
                <w:rPr>
                  <w:rFonts w:ascii="Times New Roman" w:eastAsia="Times New Roman" w:hAnsi="Times New Roman" w:cs="Times New Roman"/>
                  <w:sz w:val="16"/>
                  <w:szCs w:val="16"/>
                  <w:lang w:eastAsia="pl-PL"/>
                </w:rPr>
                <w:t>2,0 mm</w:t>
              </w:r>
            </w:smartTag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± </w:t>
            </w:r>
            <w:smartTag w:uri="urn:schemas-microsoft-com:office:smarttags" w:element="metricconverter">
              <w:smartTagPr>
                <w:attr w:name="ProductID" w:val="2,5 mm"/>
              </w:smartTagPr>
              <w:r w:rsidRPr="005C6760">
                <w:rPr>
                  <w:rFonts w:ascii="Times New Roman" w:eastAsia="Times New Roman" w:hAnsi="Times New Roman" w:cs="Times New Roman"/>
                  <w:sz w:val="16"/>
                  <w:szCs w:val="16"/>
                  <w:lang w:eastAsia="pl-PL"/>
                </w:rPr>
                <w:t>2,5 mm</w:t>
              </w:r>
            </w:smartTag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± </w:t>
            </w:r>
            <w:smartTag w:uri="urn:schemas-microsoft-com:office:smarttags" w:element="metricconverter">
              <w:smartTagPr>
                <w:attr w:name="ProductID" w:val="4,0 mm"/>
              </w:smartTagPr>
              <w:r w:rsidRPr="005C6760">
                <w:rPr>
                  <w:rFonts w:ascii="Times New Roman" w:eastAsia="Times New Roman" w:hAnsi="Times New Roman" w:cs="Times New Roman"/>
                  <w:sz w:val="16"/>
                  <w:szCs w:val="16"/>
                  <w:lang w:eastAsia="pl-PL"/>
                </w:rPr>
                <w:t>4,0 mm</w:t>
              </w:r>
            </w:smartTag>
          </w:p>
        </w:tc>
      </w:tr>
      <w:tr w:rsidR="005C6760" w:rsidRPr="005C6760" w:rsidTr="005C6760">
        <w:tc>
          <w:tcPr>
            <w:tcW w:w="534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6945" w:type="dxa"/>
            <w:gridSpan w:val="5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Właściwości fizyczne i mechaniczne</w:t>
            </w:r>
          </w:p>
        </w:tc>
      </w:tr>
      <w:tr w:rsidR="005C6760" w:rsidRPr="005C6760" w:rsidTr="005C6760">
        <w:tc>
          <w:tcPr>
            <w:tcW w:w="534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2.1</w:t>
            </w:r>
          </w:p>
        </w:tc>
        <w:tc>
          <w:tcPr>
            <w:tcW w:w="2126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Odporność na zamrażanie/</w:t>
            </w:r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rozmrażanie z udziałem soli odladzających</w:t>
            </w:r>
          </w:p>
        </w:tc>
        <w:tc>
          <w:tcPr>
            <w:tcW w:w="850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D</w:t>
            </w:r>
          </w:p>
        </w:tc>
        <w:tc>
          <w:tcPr>
            <w:tcW w:w="3969" w:type="dxa"/>
            <w:gridSpan w:val="3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Ubytek masy po badaniu: wartość średnia ≤ 1,0 kg/m</w:t>
            </w: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pl-PL"/>
              </w:rPr>
              <w:t>2</w:t>
            </w: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, przy czym każdy pojedynczy wynik &lt; 1,5 kg/m</w:t>
            </w: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pl-PL"/>
              </w:rPr>
              <w:t>2</w:t>
            </w:r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5C6760" w:rsidRPr="005C6760" w:rsidTr="005C6760">
        <w:tc>
          <w:tcPr>
            <w:tcW w:w="534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2.2</w:t>
            </w:r>
          </w:p>
        </w:tc>
        <w:tc>
          <w:tcPr>
            <w:tcW w:w="2126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Wytrzymałość na zginanie (Klasa wytrzymałości ustalona w dokumentacji projektowej lub przez Inżyniera)</w:t>
            </w:r>
          </w:p>
        </w:tc>
        <w:tc>
          <w:tcPr>
            <w:tcW w:w="850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F</w:t>
            </w:r>
          </w:p>
        </w:tc>
        <w:tc>
          <w:tcPr>
            <w:tcW w:w="3969" w:type="dxa"/>
            <w:gridSpan w:val="3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Klasa          Charakterystyczna           Każdy pojedynczy</w:t>
            </w:r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proofErr w:type="spellStart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wytrz</w:t>
            </w:r>
            <w:proofErr w:type="spellEnd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.         wytrzymałość, </w:t>
            </w:r>
            <w:proofErr w:type="spellStart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MPa</w:t>
            </w:r>
            <w:proofErr w:type="spellEnd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        wynik, </w:t>
            </w:r>
            <w:proofErr w:type="spellStart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MPa</w:t>
            </w:r>
            <w:proofErr w:type="spellEnd"/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  1                          3,5                                &gt; 2,8</w:t>
            </w:r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  2                          5,0                                &gt; 4,0</w:t>
            </w:r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  3                          6,0                                &gt; 4,8</w:t>
            </w:r>
          </w:p>
        </w:tc>
      </w:tr>
      <w:tr w:rsidR="005C6760" w:rsidRPr="005C6760" w:rsidTr="005C6760">
        <w:tc>
          <w:tcPr>
            <w:tcW w:w="534" w:type="dxa"/>
            <w:tcBorders>
              <w:bottom w:val="single" w:sz="4" w:space="0" w:color="auto"/>
            </w:tcBorders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2.3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Trwałość ze względu na wytrzymałość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F</w:t>
            </w:r>
          </w:p>
        </w:tc>
        <w:tc>
          <w:tcPr>
            <w:tcW w:w="3969" w:type="dxa"/>
            <w:gridSpan w:val="3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Krawężniki mają zadawalającą  trwałość (wytrzymałość) jeśli spełnione są wymagania </w:t>
            </w:r>
            <w:proofErr w:type="spellStart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pktu</w:t>
            </w:r>
            <w:proofErr w:type="spellEnd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2.2 oraz poddawane są normalnej konserwacji</w:t>
            </w:r>
          </w:p>
        </w:tc>
      </w:tr>
      <w:tr w:rsidR="005C6760" w:rsidRPr="005C6760" w:rsidTr="005C6760">
        <w:tc>
          <w:tcPr>
            <w:tcW w:w="534" w:type="dxa"/>
            <w:tcBorders>
              <w:bottom w:val="nil"/>
            </w:tcBorders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2.4</w:t>
            </w:r>
          </w:p>
        </w:tc>
        <w:tc>
          <w:tcPr>
            <w:tcW w:w="2126" w:type="dxa"/>
            <w:tcBorders>
              <w:bottom w:val="nil"/>
            </w:tcBorders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Odporność na ścieranie</w:t>
            </w:r>
          </w:p>
        </w:tc>
        <w:tc>
          <w:tcPr>
            <w:tcW w:w="850" w:type="dxa"/>
            <w:tcBorders>
              <w:bottom w:val="nil"/>
            </w:tcBorders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G i H</w:t>
            </w:r>
          </w:p>
        </w:tc>
        <w:tc>
          <w:tcPr>
            <w:tcW w:w="723" w:type="dxa"/>
            <w:tcBorders>
              <w:bottom w:val="nil"/>
            </w:tcBorders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3246" w:type="dxa"/>
            <w:gridSpan w:val="2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Odporność przy pomiarze na tarczy</w:t>
            </w:r>
          </w:p>
        </w:tc>
      </w:tr>
      <w:tr w:rsidR="005C6760" w:rsidRPr="005C6760" w:rsidTr="005C6760">
        <w:tc>
          <w:tcPr>
            <w:tcW w:w="534" w:type="dxa"/>
            <w:tcBorders>
              <w:top w:val="nil"/>
              <w:bottom w:val="nil"/>
            </w:tcBorders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(Klasa odporności ustalona w dokumentacji projektowej lub przez Inżyniera)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723" w:type="dxa"/>
            <w:tcBorders>
              <w:top w:val="nil"/>
            </w:tcBorders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Klasa</w:t>
            </w:r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proofErr w:type="spellStart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odpor</w:t>
            </w:r>
            <w:proofErr w:type="spellEnd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-</w:t>
            </w:r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proofErr w:type="spellStart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ności</w:t>
            </w:r>
            <w:proofErr w:type="spellEnd"/>
          </w:p>
        </w:tc>
        <w:tc>
          <w:tcPr>
            <w:tcW w:w="1404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szerokiej ściernej, wg zał. G normy – badanie podstawowe</w:t>
            </w:r>
          </w:p>
        </w:tc>
        <w:tc>
          <w:tcPr>
            <w:tcW w:w="1842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proofErr w:type="spellStart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Böhmego</w:t>
            </w:r>
            <w:proofErr w:type="spellEnd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,</w:t>
            </w:r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wg zał. H normy – badanie alternatywne</w:t>
            </w:r>
          </w:p>
        </w:tc>
      </w:tr>
      <w:tr w:rsidR="005C6760" w:rsidRPr="005C6760" w:rsidTr="005C6760">
        <w:tc>
          <w:tcPr>
            <w:tcW w:w="534" w:type="dxa"/>
            <w:tcBorders>
              <w:top w:val="nil"/>
            </w:tcBorders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723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</w:t>
            </w:r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3</w:t>
            </w:r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04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Nie określa się</w:t>
            </w:r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≤ </w:t>
            </w:r>
            <w:smartTag w:uri="urn:schemas-microsoft-com:office:smarttags" w:element="metricconverter">
              <w:smartTagPr>
                <w:attr w:name="ProductID" w:val="23 mm"/>
              </w:smartTagPr>
              <w:r w:rsidRPr="005C6760">
                <w:rPr>
                  <w:rFonts w:ascii="Times New Roman" w:eastAsia="Times New Roman" w:hAnsi="Times New Roman" w:cs="Times New Roman"/>
                  <w:sz w:val="16"/>
                  <w:szCs w:val="16"/>
                  <w:lang w:eastAsia="pl-PL"/>
                </w:rPr>
                <w:t>23 mm</w:t>
              </w:r>
            </w:smartTag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≤ 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5C6760">
                <w:rPr>
                  <w:rFonts w:ascii="Times New Roman" w:eastAsia="Times New Roman" w:hAnsi="Times New Roman" w:cs="Times New Roman"/>
                  <w:sz w:val="16"/>
                  <w:szCs w:val="16"/>
                  <w:lang w:eastAsia="pl-PL"/>
                </w:rPr>
                <w:t>20 mm</w:t>
              </w:r>
            </w:smartTag>
          </w:p>
        </w:tc>
        <w:tc>
          <w:tcPr>
            <w:tcW w:w="1842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Nie określa się</w:t>
            </w:r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≤ 20000 mm</w:t>
            </w: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pl-PL"/>
              </w:rPr>
              <w:t>3</w:t>
            </w: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/5000 mm</w:t>
            </w: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pl-PL"/>
              </w:rPr>
              <w:t>2</w:t>
            </w:r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≤ 18000 mm</w:t>
            </w: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pl-PL"/>
              </w:rPr>
              <w:t>3</w:t>
            </w: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/5000 mm</w:t>
            </w: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  <w:lang w:eastAsia="pl-PL"/>
              </w:rPr>
              <w:t>2</w:t>
            </w:r>
          </w:p>
        </w:tc>
      </w:tr>
      <w:tr w:rsidR="005C6760" w:rsidRPr="005C6760" w:rsidTr="005C6760">
        <w:tc>
          <w:tcPr>
            <w:tcW w:w="534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2.5</w:t>
            </w:r>
          </w:p>
        </w:tc>
        <w:tc>
          <w:tcPr>
            <w:tcW w:w="2126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Odporność na poślizg/</w:t>
            </w:r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poślizgnięcie</w:t>
            </w:r>
          </w:p>
        </w:tc>
        <w:tc>
          <w:tcPr>
            <w:tcW w:w="850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I</w:t>
            </w:r>
          </w:p>
        </w:tc>
        <w:tc>
          <w:tcPr>
            <w:tcW w:w="3969" w:type="dxa"/>
            <w:gridSpan w:val="3"/>
          </w:tcPr>
          <w:p w:rsidR="005C6760" w:rsidRPr="005C6760" w:rsidRDefault="005C6760" w:rsidP="005C6760">
            <w:pPr>
              <w:numPr>
                <w:ilvl w:val="0"/>
                <w:numId w:val="3"/>
              </w:numPr>
              <w:tabs>
                <w:tab w:val="clear" w:pos="340"/>
                <w:tab w:val="num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jeśli górna powierzchnia krawężnika nie była szlifowana i/lub polerowana – zadawalająca odporność,</w:t>
            </w:r>
          </w:p>
          <w:p w:rsidR="005C6760" w:rsidRPr="005C6760" w:rsidRDefault="005C6760" w:rsidP="005C6760">
            <w:pPr>
              <w:numPr>
                <w:ilvl w:val="0"/>
                <w:numId w:val="3"/>
              </w:numPr>
              <w:tabs>
                <w:tab w:val="clear" w:pos="340"/>
                <w:tab w:val="num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jeśli wyjątkowo wymaga się podania wartości odporności na poślizg/poślizgnięcie – należy </w:t>
            </w:r>
            <w:proofErr w:type="spellStart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zadekla-rować</w:t>
            </w:r>
            <w:proofErr w:type="spellEnd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minimalną jej wartość pomierzoną wg zał. I </w:t>
            </w: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lastRenderedPageBreak/>
              <w:t>normy (wahadłowym przyrządem do badania tarcia),</w:t>
            </w:r>
          </w:p>
          <w:p w:rsidR="005C6760" w:rsidRPr="005C6760" w:rsidRDefault="005C6760" w:rsidP="005C6760">
            <w:pPr>
              <w:numPr>
                <w:ilvl w:val="0"/>
                <w:numId w:val="3"/>
              </w:numPr>
              <w:tabs>
                <w:tab w:val="clear" w:pos="340"/>
                <w:tab w:val="num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trwałość odporności na poślizg/poślizgnięcie w nor-</w:t>
            </w:r>
            <w:proofErr w:type="spellStart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malnych</w:t>
            </w:r>
            <w:proofErr w:type="spellEnd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warunkach użytkowania krawężnika jest zada-walająca przez cały okres użytkowania, pod warunkiem właściwego utrzymywania i gdy na znacznej części nie zostało odsłonięte kruszywo podlegające </w:t>
            </w:r>
            <w:proofErr w:type="spellStart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intensyw-nemu</w:t>
            </w:r>
            <w:proofErr w:type="spellEnd"/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 polerowaniu.</w:t>
            </w:r>
          </w:p>
        </w:tc>
      </w:tr>
      <w:tr w:rsidR="005C6760" w:rsidRPr="005C6760" w:rsidTr="005C6760">
        <w:tc>
          <w:tcPr>
            <w:tcW w:w="534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lastRenderedPageBreak/>
              <w:t>3</w:t>
            </w:r>
          </w:p>
        </w:tc>
        <w:tc>
          <w:tcPr>
            <w:tcW w:w="6945" w:type="dxa"/>
            <w:gridSpan w:val="5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Aspekty wizualne</w:t>
            </w:r>
          </w:p>
        </w:tc>
      </w:tr>
      <w:tr w:rsidR="005C6760" w:rsidRPr="005C6760" w:rsidTr="005C6760">
        <w:tc>
          <w:tcPr>
            <w:tcW w:w="534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3.1</w:t>
            </w:r>
          </w:p>
        </w:tc>
        <w:tc>
          <w:tcPr>
            <w:tcW w:w="2126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Wygląd</w:t>
            </w:r>
          </w:p>
        </w:tc>
        <w:tc>
          <w:tcPr>
            <w:tcW w:w="850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J</w:t>
            </w:r>
          </w:p>
        </w:tc>
        <w:tc>
          <w:tcPr>
            <w:tcW w:w="3969" w:type="dxa"/>
            <w:gridSpan w:val="3"/>
          </w:tcPr>
          <w:p w:rsidR="005C6760" w:rsidRPr="005C6760" w:rsidRDefault="005C6760" w:rsidP="005C6760">
            <w:pPr>
              <w:numPr>
                <w:ilvl w:val="0"/>
                <w:numId w:val="4"/>
              </w:numPr>
              <w:tabs>
                <w:tab w:val="clear" w:pos="340"/>
                <w:tab w:val="num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powierzchnia krawężnika nie powinna mieć rys i odprysków,</w:t>
            </w:r>
          </w:p>
          <w:p w:rsidR="005C6760" w:rsidRPr="005C6760" w:rsidRDefault="005C6760" w:rsidP="005C6760">
            <w:pPr>
              <w:numPr>
                <w:ilvl w:val="0"/>
                <w:numId w:val="4"/>
              </w:numPr>
              <w:tabs>
                <w:tab w:val="clear" w:pos="340"/>
                <w:tab w:val="num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nie dopuszcza się rozwarstwień w krawężnikach dwuwarstwowych</w:t>
            </w:r>
          </w:p>
          <w:p w:rsidR="005C6760" w:rsidRPr="005C6760" w:rsidRDefault="005C6760" w:rsidP="005C6760">
            <w:pPr>
              <w:numPr>
                <w:ilvl w:val="0"/>
                <w:numId w:val="4"/>
              </w:numPr>
              <w:tabs>
                <w:tab w:val="clear" w:pos="340"/>
                <w:tab w:val="num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ewentualne wykwity nie są uważane za istotne</w:t>
            </w:r>
          </w:p>
        </w:tc>
      </w:tr>
    </w:tbl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7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126"/>
        <w:gridCol w:w="850"/>
        <w:gridCol w:w="3969"/>
      </w:tblGrid>
      <w:tr w:rsidR="005C6760" w:rsidRPr="005C6760" w:rsidTr="005C6760">
        <w:tc>
          <w:tcPr>
            <w:tcW w:w="534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3.2</w:t>
            </w:r>
          </w:p>
        </w:tc>
        <w:tc>
          <w:tcPr>
            <w:tcW w:w="2126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Tekstura</w:t>
            </w:r>
          </w:p>
        </w:tc>
        <w:tc>
          <w:tcPr>
            <w:tcW w:w="850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J</w:t>
            </w:r>
          </w:p>
        </w:tc>
        <w:tc>
          <w:tcPr>
            <w:tcW w:w="3969" w:type="dxa"/>
          </w:tcPr>
          <w:p w:rsidR="005C6760" w:rsidRPr="005C6760" w:rsidRDefault="005C6760" w:rsidP="005C6760">
            <w:pPr>
              <w:numPr>
                <w:ilvl w:val="0"/>
                <w:numId w:val="5"/>
              </w:numPr>
              <w:tabs>
                <w:tab w:val="clear" w:pos="340"/>
                <w:tab w:val="num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krawężniki z powierzchnią o specjalnej teksturze – producent powinien określić rodzaj tekstury,</w:t>
            </w:r>
          </w:p>
          <w:p w:rsidR="005C6760" w:rsidRPr="005C6760" w:rsidRDefault="005C6760" w:rsidP="005C6760">
            <w:pPr>
              <w:numPr>
                <w:ilvl w:val="0"/>
                <w:numId w:val="5"/>
              </w:numPr>
              <w:tabs>
                <w:tab w:val="clear" w:pos="340"/>
                <w:tab w:val="num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tekstura powinna być porównana z próbkami dostarczonymi przez producenta, zatwierdzonymi przez odbiorcę,</w:t>
            </w:r>
          </w:p>
          <w:p w:rsidR="005C6760" w:rsidRPr="005C6760" w:rsidRDefault="005C6760" w:rsidP="005C6760">
            <w:pPr>
              <w:numPr>
                <w:ilvl w:val="0"/>
                <w:numId w:val="5"/>
              </w:numPr>
              <w:tabs>
                <w:tab w:val="clear" w:pos="340"/>
                <w:tab w:val="num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różnice w jednolitości tekstury, spowodowane nieuniknionymi zmianami we właściwości surowców i warunków twardnienia, nie są uważane za istotne</w:t>
            </w:r>
          </w:p>
        </w:tc>
      </w:tr>
      <w:tr w:rsidR="005C6760" w:rsidRPr="005C6760" w:rsidTr="005C6760">
        <w:tc>
          <w:tcPr>
            <w:tcW w:w="534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3.3</w:t>
            </w:r>
          </w:p>
        </w:tc>
        <w:tc>
          <w:tcPr>
            <w:tcW w:w="2126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Zabarwienie</w:t>
            </w:r>
          </w:p>
        </w:tc>
        <w:tc>
          <w:tcPr>
            <w:tcW w:w="850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J</w:t>
            </w:r>
          </w:p>
        </w:tc>
        <w:tc>
          <w:tcPr>
            <w:tcW w:w="3969" w:type="dxa"/>
          </w:tcPr>
          <w:p w:rsidR="005C6760" w:rsidRPr="005C6760" w:rsidRDefault="005C6760" w:rsidP="005C6760">
            <w:pPr>
              <w:numPr>
                <w:ilvl w:val="0"/>
                <w:numId w:val="6"/>
              </w:numPr>
              <w:tabs>
                <w:tab w:val="clear" w:pos="340"/>
                <w:tab w:val="num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barwiona może być warstwa ścieralna lub cały element,</w:t>
            </w:r>
          </w:p>
          <w:p w:rsidR="005C6760" w:rsidRPr="005C6760" w:rsidRDefault="005C6760" w:rsidP="005C6760">
            <w:pPr>
              <w:numPr>
                <w:ilvl w:val="0"/>
                <w:numId w:val="6"/>
              </w:numPr>
              <w:tabs>
                <w:tab w:val="clear" w:pos="340"/>
                <w:tab w:val="num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zabarwienie powinno być porównane z próbkami dostarczonymi przez producenta, zatwierdzonymi przez odbiorcę,</w:t>
            </w:r>
          </w:p>
          <w:p w:rsidR="005C6760" w:rsidRPr="005C6760" w:rsidRDefault="005C6760" w:rsidP="005C6760">
            <w:pPr>
              <w:numPr>
                <w:ilvl w:val="0"/>
                <w:numId w:val="6"/>
              </w:numPr>
              <w:tabs>
                <w:tab w:val="clear" w:pos="340"/>
                <w:tab w:val="num" w:pos="17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76" w:hanging="176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różnice w jednolitości zabarwienia, spowodowane nieuniknionymi zmianami właściwości surowców lub warunków dojrzewania betonu, nie są uważane za istotne</w:t>
            </w:r>
          </w:p>
        </w:tc>
      </w:tr>
    </w:tbl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left="993" w:hanging="993"/>
        <w:jc w:val="both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W przypadku zastosowań krawężników betonowych na powierzchniach innych niż przewidziano w tablicy 1 (np. przy nawierzchniach wewnętrznych, nie narażonych na kontakt z solą odladzającą), wymagania wobec krawężników należy odpowiednio dostosować do ustaleń PN-EN 1340 [5].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2.2.3.3. Składowanie krawężników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Krawężniki betonowe mogą być przechowywane na składowiskach otwartych, posegregowane według typów, rodzajów, kształtów, cech fizycznych i mechanicznych, wielkości, wyglądu itp.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Krawężniki betonowe należy układać z zastosowaniem podkładek i przekładek drewnianych o wymiarach: grubość </w:t>
      </w:r>
      <w:smartTag w:uri="urn:schemas-microsoft-com:office:smarttags" w:element="metricconverter">
        <w:smartTagPr>
          <w:attr w:name="ProductID" w:val="2,5 c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2,5 cm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szerokość </w:t>
      </w:r>
      <w:smartTag w:uri="urn:schemas-microsoft-com:office:smarttags" w:element="metricconverter">
        <w:smartTagPr>
          <w:attr w:name="ProductID" w:val="5 c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5 cm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długości min. </w:t>
      </w:r>
      <w:smartTag w:uri="urn:schemas-microsoft-com:office:smarttags" w:element="metricconverter">
        <w:smartTagPr>
          <w:attr w:name="ProductID" w:val="5 c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5 cm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większej od szerokości krawężnika.</w:t>
      </w:r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2.2.4.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Materiały na podsypkę i do zapraw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Jeśli dokumentacja projektowa lub SST nie ustala inaczej, to należy stosować następujące materiały: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a) na podsypkę piaskową</w:t>
      </w:r>
    </w:p>
    <w:p w:rsidR="005C6760" w:rsidRPr="005C6760" w:rsidRDefault="005C6760" w:rsidP="005C676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piasek naturalny wg PN-B-11113 [10], odpowiadający wymaganiom dla gatunku 2 lub 3,</w:t>
      </w:r>
    </w:p>
    <w:p w:rsidR="005C6760" w:rsidRPr="005C6760" w:rsidRDefault="005C6760" w:rsidP="005C676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piasek łamany (0,075÷2) mm, mieszankę drobną granulowaną (0,075÷4) mm albo miał (0÷4) mm, odpowiadający wymaganiom PN-B-11112 [9],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b) na podsypkę cementowo-piaskową i do zapraw</w:t>
      </w:r>
    </w:p>
    <w:p w:rsidR="005C6760" w:rsidRPr="005C6760" w:rsidRDefault="005C6760" w:rsidP="005C6760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mieszankę cementu i piasku: z piasku naturalnego spełniającego wymagania dla gatunku 1 wg PN-B-11113 [10], cementu 32,5 spełniającego wymagania PN-EN 197-1 [3] i wody odmiany 1 odpowiadającej wymaganiom PN-88/B-32250 [11].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Składowanie kruszywa, nie przeznaczonego do bezpośredniego wbudowania po dostarczeniu na budowę, powinno odbywać się na podłożu równym, utwardzonym i dobrze odwodnionym, przy zabezpieczeniu kruszywa przed zanieczyszczeniem i zmieszaniem z innymi materiałami kamiennymi.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Przechowywanie cementu powinno być zgodne z BN-88/6731-08 [12].</w:t>
      </w:r>
    </w:p>
    <w:p w:rsidR="005C6760" w:rsidRPr="005C6760" w:rsidRDefault="005C6760" w:rsidP="005C6760">
      <w:pPr>
        <w:keepNext/>
        <w:numPr>
          <w:ilvl w:val="2"/>
          <w:numId w:val="9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Materiały na ławy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Do wykonania ław pod krawężnik należy stosować, dla:</w:t>
      </w:r>
    </w:p>
    <w:p w:rsidR="005C6760" w:rsidRPr="005C6760" w:rsidRDefault="005C6760" w:rsidP="005C6760">
      <w:pPr>
        <w:numPr>
          <w:ilvl w:val="0"/>
          <w:numId w:val="10"/>
        </w:numPr>
        <w:tabs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ławy betonowej – beton klasy C12/15 lub C8/10 wg PN-EN 206-1 [4], a tymczasowo B15 i B10 wg PN-88/B-06250 [6],</w:t>
      </w:r>
    </w:p>
    <w:p w:rsidR="005C6760" w:rsidRPr="005C6760" w:rsidRDefault="005C6760" w:rsidP="005C6760">
      <w:pPr>
        <w:numPr>
          <w:ilvl w:val="0"/>
          <w:numId w:val="10"/>
        </w:numPr>
        <w:tabs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ławy żwirowej – żwir odpowiadający wymaganiom PN-B-11111 [8],</w:t>
      </w:r>
    </w:p>
    <w:p w:rsidR="005C6760" w:rsidRPr="005C6760" w:rsidRDefault="005C6760" w:rsidP="005C6760">
      <w:pPr>
        <w:numPr>
          <w:ilvl w:val="0"/>
          <w:numId w:val="10"/>
        </w:numPr>
        <w:tabs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ławy tłuczniowej – tłuczeń odpowiadający wymaganiom PN-B-11112 [9].</w:t>
      </w:r>
    </w:p>
    <w:p w:rsidR="00D176D4" w:rsidRDefault="00D176D4" w:rsidP="005C6760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D176D4" w:rsidRDefault="00D176D4" w:rsidP="005C6760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lastRenderedPageBreak/>
        <w:t xml:space="preserve">2.2.6.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Masa zalewowa w szczelinach ławy betonowej i spoinach krawężników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Masa zalewowa, do wypełniania szczelin dylatacyjnych, powinna odpowiadać wymaganiom OST D-05.03.04a [2].</w:t>
      </w:r>
    </w:p>
    <w:p w:rsidR="005C6760" w:rsidRPr="005C6760" w:rsidRDefault="005C6760" w:rsidP="005C6760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7" w:name="_3._SPRZĘT"/>
      <w:bookmarkStart w:id="8" w:name="_Toc428239274"/>
      <w:bookmarkStart w:id="9" w:name="_Toc428759423"/>
      <w:bookmarkStart w:id="10" w:name="_Toc141496949"/>
      <w:bookmarkEnd w:id="7"/>
      <w:r w:rsidRPr="005C6760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3. SPRZĘT</w:t>
      </w:r>
      <w:bookmarkEnd w:id="8"/>
      <w:bookmarkEnd w:id="9"/>
      <w:bookmarkEnd w:id="10"/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3.1. Ogólne wymagania dotyczące sprzętu</w:t>
      </w:r>
    </w:p>
    <w:p w:rsidR="005C6760" w:rsidRPr="005C6760" w:rsidRDefault="005C6760" w:rsidP="005C6760">
      <w:pPr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Ogólne wymagania dotyczące sprzętu podano w OST D-M-00.00.00 „Wymagania ogólne” [1] pkt 3.</w:t>
      </w:r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3.2. Sprzęt do wykonania robót</w:t>
      </w:r>
    </w:p>
    <w:p w:rsidR="005C6760" w:rsidRPr="005C6760" w:rsidRDefault="005C6760" w:rsidP="005C6760">
      <w:pPr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Roboty wykonuje się ręcznie przy zastosowaniu:</w:t>
      </w:r>
    </w:p>
    <w:p w:rsidR="005C6760" w:rsidRPr="005C6760" w:rsidRDefault="005C6760" w:rsidP="005C6760">
      <w:pPr>
        <w:numPr>
          <w:ilvl w:val="0"/>
          <w:numId w:val="11"/>
        </w:numPr>
        <w:tabs>
          <w:tab w:val="right" w:leader="dot" w:pos="-1985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betoniarek do wytwarzania betonu i zapraw oraz przygotowania podsypki cementowo-piaskowej,</w:t>
      </w:r>
    </w:p>
    <w:p w:rsidR="005C6760" w:rsidRPr="005C6760" w:rsidRDefault="005C6760" w:rsidP="005C6760">
      <w:pPr>
        <w:numPr>
          <w:ilvl w:val="0"/>
          <w:numId w:val="11"/>
        </w:numPr>
        <w:tabs>
          <w:tab w:val="right" w:leader="dot" w:pos="-198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wibratorów płytowych, ubijaków ręcznych lub mechanicznych.</w:t>
      </w:r>
    </w:p>
    <w:p w:rsidR="005C6760" w:rsidRPr="005C6760" w:rsidRDefault="005C6760" w:rsidP="005C6760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1" w:name="_4._TRANSPORT"/>
      <w:bookmarkStart w:id="12" w:name="_Toc428239275"/>
      <w:bookmarkStart w:id="13" w:name="_Toc428759424"/>
      <w:bookmarkStart w:id="14" w:name="_Toc141496950"/>
      <w:bookmarkEnd w:id="11"/>
      <w:r w:rsidRPr="005C6760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4. TRANSPORT</w:t>
      </w:r>
      <w:bookmarkEnd w:id="12"/>
      <w:bookmarkEnd w:id="13"/>
      <w:bookmarkEnd w:id="14"/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4.1. Ogólne wymagania dotyczące transportu</w:t>
      </w:r>
    </w:p>
    <w:p w:rsidR="005C6760" w:rsidRPr="005C6760" w:rsidRDefault="005C6760" w:rsidP="005C6760">
      <w:pPr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wymagania dotyczące transportu podano w OST D-M-00.00.00 „Wymagania ogólne” [1] pkt 4.</w:t>
      </w:r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4.2. Transport krawężników</w:t>
      </w:r>
    </w:p>
    <w:p w:rsidR="005C6760" w:rsidRPr="005C6760" w:rsidRDefault="005C6760" w:rsidP="005C6760">
      <w:pPr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Krawężniki betonowe mogą być przewożone dowolnymi środkami transportowymi.</w:t>
      </w:r>
    </w:p>
    <w:p w:rsidR="005C6760" w:rsidRPr="005C6760" w:rsidRDefault="005C6760" w:rsidP="005C6760">
      <w:pPr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Krawężniki betonowe układać należy na środkach transportowych w pozycji pionowej z nachyleniem w kierunku jazdy.</w:t>
      </w:r>
    </w:p>
    <w:p w:rsidR="005C6760" w:rsidRPr="005C6760" w:rsidRDefault="005C6760" w:rsidP="005C6760">
      <w:pPr>
        <w:tabs>
          <w:tab w:val="right" w:leader="dot" w:pos="-1985"/>
          <w:tab w:val="left" w:pos="28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Krawężniki powinny być zabezpieczone przed przemieszczeniem się i uszkodzeniami w czasie transportu, a górna warstwa nie powinna wystawać poza ściany środka transportowego więcej niż 1/3 wysokości tej warstwy.</w:t>
      </w:r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4.3. Transport pozostałych materiałów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Transport cementu powinien się odbywać w warunkach zgodnych z BN-88/6731-08 [12].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Kruszywa można przewozić dowolnym środkiem transportu, w warunkach zabezpieczających je przed zanieczyszczeniem i zmieszaniem z innymi materiałami. Podczas transportu kruszywa powinny być zabezpieczone przed wysypaniem, a kruszywo drobne - przed rozpyleniem.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Masę zalewową należy pakować w bębny blaszane lub beczki. Transport powinien odbywać się w warunkach zabezpieczających przed uszkodzeniem bębnów i beczek.</w:t>
      </w:r>
    </w:p>
    <w:p w:rsidR="005C6760" w:rsidRPr="005C6760" w:rsidRDefault="005C6760" w:rsidP="005C6760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5" w:name="_Toc141496951"/>
      <w:r w:rsidRPr="005C6760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5. wykonanie robót</w:t>
      </w:r>
      <w:bookmarkEnd w:id="15"/>
    </w:p>
    <w:p w:rsidR="005C6760" w:rsidRPr="005C6760" w:rsidRDefault="005C6760" w:rsidP="005C6760">
      <w:pPr>
        <w:keepNext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5.1. Ogólne zasady wykonania robót</w:t>
      </w:r>
    </w:p>
    <w:p w:rsidR="005C6760" w:rsidRPr="005C6760" w:rsidRDefault="005C6760" w:rsidP="005C6760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wykonania robót podano w OST D-M-00.00.00 „Wymagania ogólne” [1] pkt 5.</w:t>
      </w:r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5.2. Zasady wykonywania robót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  Sposób wykonania robót powinien być zgodny z dokumentacją projektową i SST. W przypadku braku wystarczających danych można korzystać z ustaleń podanych w niniejszej specyfikacji oraz z informacji podanych w załącznikach.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Podstawowe czynności przy wykonywaniu robót obejmują:</w:t>
      </w:r>
    </w:p>
    <w:p w:rsidR="005C6760" w:rsidRPr="005C6760" w:rsidRDefault="005C6760" w:rsidP="005C6760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roboty przygotowawcze, </w:t>
      </w:r>
    </w:p>
    <w:p w:rsidR="005C6760" w:rsidRPr="005C6760" w:rsidRDefault="005C6760" w:rsidP="005C6760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wykonanie ławy,</w:t>
      </w:r>
    </w:p>
    <w:p w:rsidR="005C6760" w:rsidRPr="005C6760" w:rsidRDefault="005C6760" w:rsidP="005C6760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ustawienie krawężników,</w:t>
      </w:r>
    </w:p>
    <w:p w:rsidR="005C6760" w:rsidRPr="005C6760" w:rsidRDefault="005C6760" w:rsidP="005C6760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wypełnienie spoin,</w:t>
      </w:r>
    </w:p>
    <w:p w:rsidR="005C6760" w:rsidRPr="005C6760" w:rsidRDefault="005C6760" w:rsidP="005C6760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roboty wykończeniowe.</w:t>
      </w:r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5.3. Roboty przygotowawcze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Przed przystąpieniem do robót należy, na podstawie dokumentacji projektowej,  SST lub wskazań Inżyniera:</w:t>
      </w:r>
    </w:p>
    <w:p w:rsidR="005C6760" w:rsidRPr="005C6760" w:rsidRDefault="005C6760" w:rsidP="005C6760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ustalić lokalizację robót,</w:t>
      </w:r>
    </w:p>
    <w:p w:rsidR="005C6760" w:rsidRPr="005C6760" w:rsidRDefault="005C6760" w:rsidP="005C6760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ustalić dane niezbędne do szczegółowego wytyczenia robót oraz ustalenia danych wysokościowych,</w:t>
      </w:r>
    </w:p>
    <w:p w:rsidR="005C6760" w:rsidRPr="005C6760" w:rsidRDefault="005C6760" w:rsidP="005C6760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usunąć przeszkody, np. słupki, pachołki, elementy dróg, ogrodzeń itd.</w:t>
      </w:r>
    </w:p>
    <w:p w:rsidR="005C6760" w:rsidRPr="005C6760" w:rsidRDefault="005C6760" w:rsidP="005C6760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ustalić materiały niezbędne do wykonania robót,</w:t>
      </w:r>
    </w:p>
    <w:p w:rsidR="005C6760" w:rsidRPr="005C6760" w:rsidRDefault="005C6760" w:rsidP="005C6760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określić kolejność, sposób i termin wykonania robót.</w:t>
      </w:r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5.4. Wykonanie ławy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5.4.1.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Koryto pod ławę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Wymiary wykopu, stanowiącego koryto pod ławę, powinny odpowiadać wymiarom ławy w planie z uwzględnieniem w szerokości dna wykopu ew. konstrukcji szalunku.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Wskaźnik zagęszczenia dna wykonanego koryta pod ławę powinien wynosić co najmniej 0,97 według normalnej metody </w:t>
      </w:r>
      <w:proofErr w:type="spellStart"/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Proctora</w:t>
      </w:r>
      <w:proofErr w:type="spellEnd"/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5.4.2.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Ława żwirowa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Ławę żwirową o wysokości do </w:t>
      </w:r>
      <w:smartTag w:uri="urn:schemas-microsoft-com:office:smarttags" w:element="metricconverter">
        <w:smartTagPr>
          <w:attr w:name="ProductID" w:val="10 c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10 cm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wykonuje się jednowarstwowo przez zasypanie koryta żwirem i zagęszczenie go, polewając wodą.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Ławy o wysokości powyżej </w:t>
      </w:r>
      <w:smartTag w:uri="urn:schemas-microsoft-com:office:smarttags" w:element="metricconverter">
        <w:smartTagPr>
          <w:attr w:name="ProductID" w:val="10 c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10 cm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należy wykonywać dwuwarstwowo, starannie zagęszczając poszczególne warstwy.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5.4.3.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Ława tłuczniowa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Ławę należy wykonywać przez zasypanie wykopu koryta tłuczniem.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Tłuczeń należy starannie ubić polewając wodą. Górną powierzchnię ławy tłuczniowej należy wyrównać klińcem i ostatecznie zagęścić.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Przy grubości warstwy tłucznia w ławie wynoszącej powyżej </w:t>
      </w:r>
      <w:smartTag w:uri="urn:schemas-microsoft-com:office:smarttags" w:element="metricconverter">
        <w:smartTagPr>
          <w:attr w:name="ProductID" w:val="10 c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10 cm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należy ławę wykonać dwuwarstwowo, starannie zagęszczając poszczególne warstwy.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5.4.4.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Ława betonowa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Ławę betonową zwykłą w gruntach spoistych wykonuje się bez szalowania, przy gruntach sypkich należy stosować szalowanie.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Ławę betonową z oporem wykonuje się w szalowaniu. Beton rozścielony w szalowaniu lub bezpośrednio w korycie powinien być wyrównywany warstwami. Betonowanie ław należy wykonywać zgodnie z wymaganiami PN-63/B-06251 [7], przy czym należy stosować co </w:t>
      </w:r>
      <w:smartTag w:uri="urn:schemas-microsoft-com:office:smarttags" w:element="metricconverter">
        <w:smartTagPr>
          <w:attr w:name="ProductID" w:val="50 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50 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szczeliny dylatacyjne wypełnione bitumiczną masą zalewową.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Przykłady ław betonowych zwykłych i ław z oporem podaje załącznik 4.</w:t>
      </w:r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5.5. Ustawienie krawężników betonowych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5.5.1.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Zasady ustawiania krawężników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Światło (odległość górnej powierzchni krawężnika od jezdni) powinno być zgodne z ustaleniami dokumentacji projektowej, a w przypadku braku takich ustaleń powinno wynosić od 10 do </w:t>
      </w:r>
      <w:smartTag w:uri="urn:schemas-microsoft-com:office:smarttags" w:element="metricconverter">
        <w:smartTagPr>
          <w:attr w:name="ProductID" w:val="12 c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12 cm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a w przypadkach wyjątkowych (np. ze względu na „wyrobienie” ścieku)  może być zmniejszone do </w:t>
      </w:r>
      <w:smartTag w:uri="urn:schemas-microsoft-com:office:smarttags" w:element="metricconverter">
        <w:smartTagPr>
          <w:attr w:name="ProductID" w:val="6 c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6 cm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lub zwiększone do </w:t>
      </w:r>
      <w:smartTag w:uri="urn:schemas-microsoft-com:office:smarttags" w:element="metricconverter">
        <w:smartTagPr>
          <w:attr w:name="ProductID" w:val="16 c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16 cm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Zewnętrzna ściana krawężnika od strony chodnika powinna być po ustawieniu krawężnika obsypana piaskiem, żwirem, tłuczniem lub miejscowym gruntem przepuszczalnym, starannie ubitym.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5.5.2.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Ustawienie krawężników na ławie żwirowej lub tłuczniowej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Ustawianie krawężników na ławie żwirowej i tłuczniowej powinno być wykonywane na podsypce z piasku o grubości warstwy od 3 do </w:t>
      </w:r>
      <w:smartTag w:uri="urn:schemas-microsoft-com:office:smarttags" w:element="metricconverter">
        <w:smartTagPr>
          <w:attr w:name="ProductID" w:val="5 c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5 cm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 zagęszczeniu.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5.5.3.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Ustawienie krawężników na ławie betonowej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Ustawianie krawężników na ławie betonowej wykonuje się  na podsypce z piasku lub na podsypce cementowo-piaskowej o grubości 3 do </w:t>
      </w:r>
      <w:smartTag w:uri="urn:schemas-microsoft-com:office:smarttags" w:element="metricconverter">
        <w:smartTagPr>
          <w:attr w:name="ProductID" w:val="5 c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5 cm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 zagęszczeniu.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5.5.4.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Wypełnianie spoin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Spoiny krawężników nie powinny przekraczać szerokości </w:t>
      </w:r>
      <w:smartTag w:uri="urn:schemas-microsoft-com:office:smarttags" w:element="metricconverter">
        <w:smartTagPr>
          <w:attr w:name="ProductID" w:val="1 c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 cm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. Spoiny należy wypełnić żwirem, piaskiem lub zaprawą cementowo-piaskową, przygotowaną w stosunku 1:2. Zalewanie spoin krawężników zaprawą cementowo-piaskową stosuje się wyłącznie do krawężników ustawionych na ławie betonowej.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Spoiny krawężników przed zalaniem zaprawą należy oczyścić i zmyć wodą. Dla zabezpieczenia przed wpływami temperatury krawężniki ustawione na podsypce cementowo-piaskowej i o spoinach zalanych zaprawą należy zalewać co </w:t>
      </w:r>
      <w:smartTag w:uri="urn:schemas-microsoft-com:office:smarttags" w:element="metricconverter">
        <w:smartTagPr>
          <w:attr w:name="ProductID" w:val="50 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50 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bitumiczną masą zalewową nad szczeliną dylatacyjną ławy.</w:t>
      </w:r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lastRenderedPageBreak/>
        <w:t>5.6. Roboty wykończeniowe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Roboty wykończeniowe powinny być zgodne z dokumentacją projektową i SST. Do robót wykończeniowych należą prace związane z dostosowaniem wykonanych robót do istniejących warunków terenowych, takie jak:</w:t>
      </w:r>
    </w:p>
    <w:p w:rsidR="005C6760" w:rsidRPr="005C6760" w:rsidRDefault="005C6760" w:rsidP="005C6760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odtworzenie elementów czasowo usuniętych, </w:t>
      </w:r>
    </w:p>
    <w:p w:rsidR="005C6760" w:rsidRPr="005C6760" w:rsidRDefault="005C6760" w:rsidP="005C6760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roboty porządkujące otoczenie terenu robót.</w:t>
      </w:r>
    </w:p>
    <w:p w:rsidR="005C6760" w:rsidRPr="005C6760" w:rsidRDefault="005C6760" w:rsidP="005C6760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6" w:name="_Toc424534470"/>
      <w:bookmarkStart w:id="17" w:name="_Toc46644001"/>
      <w:bookmarkStart w:id="18" w:name="_Toc51995834"/>
      <w:bookmarkStart w:id="19" w:name="_Toc70745916"/>
      <w:bookmarkStart w:id="20" w:name="_Toc113338102"/>
      <w:bookmarkStart w:id="21" w:name="_Toc120590626"/>
      <w:bookmarkStart w:id="22" w:name="_Toc141072308"/>
      <w:bookmarkStart w:id="23" w:name="_Toc141496952"/>
      <w:r w:rsidRPr="005C6760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6. KONTROLA JAKOŚCI ROBÓT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6.1. Ogólne zasady kontroli jakości robót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kontroli jakości robót podano w OST D-M-00.00.00 „Wymagania ogólne” [1] pkt 6.</w:t>
      </w:r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6.2. Badania przed przystąpieniem do robót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Przed przystąpieniem do robót Wykonawca powinien:</w:t>
      </w:r>
    </w:p>
    <w:p w:rsidR="005C6760" w:rsidRPr="005C6760" w:rsidRDefault="005C6760" w:rsidP="005C6760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uzyskać wymagane dokumenty, dopuszczające wyroby budowlane do obrotu i powszechnego stosowania (certyfikaty zgodności, deklaracje zgodności, ew. badania materiałów wykonane przez dostawców itp.),</w:t>
      </w:r>
    </w:p>
    <w:p w:rsidR="005C6760" w:rsidRPr="005C6760" w:rsidRDefault="005C6760" w:rsidP="005C6760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ew. wykonać własne badania właściwości materiałów przeznaczonych do wykonania robót, określone w </w:t>
      </w:r>
      <w:proofErr w:type="spellStart"/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pkcie</w:t>
      </w:r>
      <w:proofErr w:type="spellEnd"/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2 (tablicy 1),</w:t>
      </w:r>
    </w:p>
    <w:p w:rsidR="005C6760" w:rsidRPr="005C6760" w:rsidRDefault="005C6760" w:rsidP="005C6760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sprawdzić cechy zewnętrzne krawężników.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Wszystkie dokumenty oraz wyniki badań Wykonawca przedstawia Inżynierowi do akceptacji.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Sprawdzenie wyglądu zewnętrznego krawężników należy przeprowadzić na podstawie oględzin elementu przez pomiar i ocenę uszkodzeń występujących na powierzchniach i krawędziach elementu zgodnie z wymaganiami tablicy 1 i ustaleniami PN-EN 1340 [5].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Badania pozostałych materiałów stosowanych przy ustawianiu krawężników betonowych powinny obejmować właściwości, określone w normach podanych dla odpowiednich materiałów w </w:t>
      </w:r>
      <w:proofErr w:type="spellStart"/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pkcie</w:t>
      </w:r>
      <w:proofErr w:type="spellEnd"/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2.</w:t>
      </w:r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6.3. Badania w czasie robót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6.3.1.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Sprawdzenie koryta pod ławę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Należy sprawdzać wymiary koryta oraz zagęszczenie podłoża na dnie wykopu.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Tolerancja dla szerokości wykopu wynosi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00B1"/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2 c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2 cm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. Zagęszczenie podłoża powinno być zgodne z pkt 5.4.1.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6.3.2.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Sprawdzenie ław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Przy wykonywaniu ław badaniu podlegają: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left="283" w:hanging="283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a)</w:t>
      </w:r>
      <w:r w:rsidRPr="005C6760">
        <w:rPr>
          <w:rFonts w:ascii="Times New Roman" w:eastAsia="Times New Roman" w:hAnsi="Times New Roman" w:cs="Times New Roman"/>
          <w:sz w:val="14"/>
          <w:szCs w:val="14"/>
          <w:lang w:eastAsia="pl-PL"/>
        </w:rPr>
        <w:t>   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zgodność profilu podłużnego górnej powierzchni ław z dokumentacją projektową.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Profil podłużny górnej powierzchni ławy powinien być zgodny z projektowaną niweletą. Dopuszczalne odchylenia mogą wynosić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00B1"/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1 c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 cm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na każde </w:t>
      </w:r>
      <w:smartTag w:uri="urn:schemas-microsoft-com:office:smarttags" w:element="metricconverter">
        <w:smartTagPr>
          <w:attr w:name="ProductID" w:val="100 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100 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ławy,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b)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wymiary ław.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Wymiary ław należy sprawdzić w dwóch dowolnie wybranych punktach na każde </w:t>
      </w:r>
      <w:smartTag w:uri="urn:schemas-microsoft-com:office:smarttags" w:element="metricconverter">
        <w:smartTagPr>
          <w:attr w:name="ProductID" w:val="100 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100 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ławy. Tolerancje wymiarów wynoszą: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- dla wysokości 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00B1"/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10% wysokości projektowanej,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- dla szerokości 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00B1"/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10% szerokości projektowanej,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c)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równość górnej powierzchni ław.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Równość górnej powierzchni ławy sprawdza się przez przyłożenie w dwóch punktach, na każde </w:t>
      </w:r>
      <w:smartTag w:uri="urn:schemas-microsoft-com:office:smarttags" w:element="metricconverter">
        <w:smartTagPr>
          <w:attr w:name="ProductID" w:val="100 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100 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ławy, trzymetrowej łaty. Prześwit pomiędzy górną powierzchnią ławy i przyłożoną łatą nie może przekraczać </w:t>
      </w:r>
      <w:smartTag w:uri="urn:schemas-microsoft-com:office:smarttags" w:element="metricconverter">
        <w:smartTagPr>
          <w:attr w:name="ProductID" w:val="1 c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 cm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d)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zagęszczenie ław z kruszyw.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Zagęszczenie ław bada się w dwóch przekrojach na każde </w:t>
      </w:r>
      <w:smartTag w:uri="urn:schemas-microsoft-com:office:smarttags" w:element="metricconverter">
        <w:smartTagPr>
          <w:attr w:name="ProductID" w:val="100 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100 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. Ławy ze żwiru lub piasku nie mogą wykazywać śladu urządzenia zagęszczającego.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Ławy z tłucznia, badane próbą wyjęcia poszczególnych </w:t>
      </w:r>
      <w:proofErr w:type="spellStart"/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ziarn</w:t>
      </w:r>
      <w:proofErr w:type="spellEnd"/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tłucznia, nie powinny pozwalać na wyjęcie ziarna z ławy,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e)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odchylenie linii ław od projektowanego kierunku.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Dopuszczalne odchylenie linii ław od projektowanego kierunku nie może przekraczać 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00B1"/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2 c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2 cm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na każde </w:t>
      </w:r>
      <w:smartTag w:uri="urn:schemas-microsoft-com:office:smarttags" w:element="metricconverter">
        <w:smartTagPr>
          <w:attr w:name="ProductID" w:val="100 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100 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wykonanej ławy.</w:t>
      </w:r>
    </w:p>
    <w:p w:rsidR="00D176D4" w:rsidRDefault="00D176D4" w:rsidP="005C6760">
      <w:pPr>
        <w:overflowPunct w:val="0"/>
        <w:autoSpaceDE w:val="0"/>
        <w:autoSpaceDN w:val="0"/>
        <w:adjustRightInd w:val="0"/>
        <w:spacing w:before="120"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D176D4" w:rsidRDefault="00D176D4" w:rsidP="005C6760">
      <w:pPr>
        <w:overflowPunct w:val="0"/>
        <w:autoSpaceDE w:val="0"/>
        <w:autoSpaceDN w:val="0"/>
        <w:adjustRightInd w:val="0"/>
        <w:spacing w:before="120"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lastRenderedPageBreak/>
        <w:t xml:space="preserve">6.3.3.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Sprawdzenie ustawienia krawężników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before="120"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Przy ustawianiu krawężników należy sprawdzać:</w:t>
      </w:r>
    </w:p>
    <w:p w:rsidR="005C6760" w:rsidRPr="005C6760" w:rsidRDefault="005C6760" w:rsidP="005C6760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dopuszczalne odchylenia linii krawężników w poziomie od linii projektowanej, które wynosi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00B1"/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1 c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 cm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na każde </w:t>
      </w:r>
      <w:smartTag w:uri="urn:schemas-microsoft-com:office:smarttags" w:element="metricconverter">
        <w:smartTagPr>
          <w:attr w:name="ProductID" w:val="100 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100 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ustawionego krawężnika,</w:t>
      </w:r>
    </w:p>
    <w:p w:rsidR="005C6760" w:rsidRPr="005C6760" w:rsidRDefault="005C6760" w:rsidP="005C6760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dopuszczalne odchylenie niwelety górnej płaszczyzny krawężnika od niwelety projektowanej, które wynosi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00B1"/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smartTag w:uri="urn:schemas-microsoft-com:office:smarttags" w:element="metricconverter">
        <w:smartTagPr>
          <w:attr w:name="ProductID" w:val="1 c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 cm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na każde </w:t>
      </w:r>
      <w:smartTag w:uri="urn:schemas-microsoft-com:office:smarttags" w:element="metricconverter">
        <w:smartTagPr>
          <w:attr w:name="ProductID" w:val="100 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100 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ustawionego krawężnika,</w:t>
      </w:r>
    </w:p>
    <w:p w:rsidR="005C6760" w:rsidRPr="005C6760" w:rsidRDefault="005C6760" w:rsidP="005C6760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równość górnej powierzchni krawężników, sprawdzane przez przyłożenie w dwóch punktach na każde </w:t>
      </w:r>
      <w:smartTag w:uri="urn:schemas-microsoft-com:office:smarttags" w:element="metricconverter">
        <w:smartTagPr>
          <w:attr w:name="ProductID" w:val="100 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100 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krawężnika, trzymetrowej łaty, przy czym prześwit pomiędzy górną powierzchnią krawężnika i przyłożoną łatą nie może przekraczać       </w:t>
      </w:r>
      <w:smartTag w:uri="urn:schemas-microsoft-com:office:smarttags" w:element="metricconverter">
        <w:smartTagPr>
          <w:attr w:name="ProductID" w:val="1 c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 cm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</w:p>
    <w:p w:rsidR="005C6760" w:rsidRPr="005C6760" w:rsidRDefault="005C6760" w:rsidP="005C6760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dokładność wypełnienia spoin bada się co </w:t>
      </w:r>
      <w:smartTag w:uri="urn:schemas-microsoft-com:office:smarttags" w:element="metricconverter">
        <w:smartTagPr>
          <w:attr w:name="ProductID" w:val="10 metr￳w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10 metrów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. Spoiny muszą być wypełnione całkowicie na pełną głębokość.</w:t>
      </w:r>
    </w:p>
    <w:p w:rsidR="005C6760" w:rsidRPr="005C6760" w:rsidRDefault="005C6760" w:rsidP="005C6760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24" w:name="_7._OBMIAR_ROBÓT"/>
      <w:bookmarkStart w:id="25" w:name="_Toc428169263"/>
      <w:bookmarkStart w:id="26" w:name="_Toc428323653"/>
      <w:bookmarkStart w:id="27" w:name="_Toc428759427"/>
      <w:bookmarkStart w:id="28" w:name="_Toc141072309"/>
      <w:bookmarkStart w:id="29" w:name="_Toc141496953"/>
      <w:bookmarkEnd w:id="24"/>
      <w:r w:rsidRPr="005C6760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7. OBMIAR ROBÓT</w:t>
      </w:r>
      <w:bookmarkEnd w:id="25"/>
      <w:bookmarkEnd w:id="26"/>
      <w:bookmarkEnd w:id="27"/>
      <w:bookmarkEnd w:id="28"/>
      <w:bookmarkEnd w:id="29"/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7.1. Ogólne zasady obmiaru robót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obmiaru robót podano w OST D-M-00.00.00 „Wymagania ogólne” [1] pkt 7.</w:t>
      </w:r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7.2. Jednostka obmiarowa</w:t>
      </w:r>
    </w:p>
    <w:p w:rsidR="00DD02EE" w:rsidRPr="00DD02EE" w:rsidRDefault="005C6760" w:rsidP="00DD02E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Jednostką obmiarową jest m (metr) ustawionego krawężnika.</w:t>
      </w:r>
      <w:bookmarkStart w:id="30" w:name="_8._ODBIÓR_ROBÓT"/>
      <w:bookmarkStart w:id="31" w:name="_Toc428169264"/>
      <w:bookmarkStart w:id="32" w:name="_Toc428323654"/>
      <w:bookmarkStart w:id="33" w:name="_Toc428759428"/>
      <w:bookmarkStart w:id="34" w:name="_Toc141072310"/>
      <w:bookmarkStart w:id="35" w:name="_Toc141496954"/>
      <w:bookmarkEnd w:id="30"/>
    </w:p>
    <w:p w:rsidR="005C6760" w:rsidRPr="005C6760" w:rsidRDefault="005C6760" w:rsidP="005C6760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8. ODBIÓR ROBÓT</w:t>
      </w:r>
      <w:bookmarkEnd w:id="31"/>
      <w:bookmarkEnd w:id="32"/>
      <w:bookmarkEnd w:id="33"/>
      <w:bookmarkEnd w:id="34"/>
      <w:bookmarkEnd w:id="35"/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8.1. Ogólne zasady odbioru robót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odbioru robót podano w OST D-M-00.00.00 „Wymagania ogólne” [1] pkt 8.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Roboty uznaje się za wykonane zgodnie z dokumentacją projektową, SST                    i wymaganiami Inżyniera, jeżeli wszystkie pomiary i badania z zachowaniem tolerancji wg pkt 6 dały wyniki pozytywne.</w:t>
      </w:r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8.2. Odbiór robót zanikających i ulegających zakryciu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Odbiorowi robót zanikających i ulegających zakryciu podlegają: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left="283" w:hanging="283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5C6760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wykonanie koryta pod ławę,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left="283" w:hanging="283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5C6760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wykonanie ławy,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ind w:left="283" w:hanging="283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Symbol" w:eastAsia="Times New Roman" w:hAnsi="Symbol" w:cs="Times New Roman"/>
          <w:sz w:val="20"/>
          <w:szCs w:val="20"/>
          <w:lang w:eastAsia="pl-PL"/>
        </w:rPr>
        <w:t></w:t>
      </w:r>
      <w:r w:rsidRPr="005C6760">
        <w:rPr>
          <w:rFonts w:ascii="Times New Roman" w:eastAsia="Times New Roman" w:hAnsi="Times New Roman" w:cs="Times New Roman"/>
          <w:sz w:val="14"/>
          <w:szCs w:val="14"/>
          <w:lang w:eastAsia="pl-PL"/>
        </w:rPr>
        <w:t xml:space="preserve">     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wykonanie podsypki.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Odbiór tych robót powinien być zgodny z wymaganiami </w:t>
      </w:r>
      <w:proofErr w:type="spellStart"/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pktu</w:t>
      </w:r>
      <w:proofErr w:type="spellEnd"/>
      <w:r w:rsidR="00D176D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8.2 OST  </w:t>
      </w: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D-M-00.00.00 „Wymagania ogólne” [1] oraz niniejszej OST.</w:t>
      </w:r>
    </w:p>
    <w:p w:rsidR="005C6760" w:rsidRPr="005C6760" w:rsidRDefault="005C6760" w:rsidP="005C6760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36" w:name="_9._PODSTAWA_PŁATNOŚCI"/>
      <w:bookmarkStart w:id="37" w:name="_Toc428169265"/>
      <w:bookmarkStart w:id="38" w:name="_Toc428323655"/>
      <w:bookmarkStart w:id="39" w:name="_Toc428759429"/>
      <w:bookmarkStart w:id="40" w:name="_Toc141072311"/>
      <w:bookmarkStart w:id="41" w:name="_Toc141496955"/>
      <w:bookmarkEnd w:id="36"/>
      <w:r w:rsidRPr="005C6760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9. PODSTAWA PŁATNOŚCI</w:t>
      </w:r>
      <w:bookmarkEnd w:id="37"/>
      <w:bookmarkEnd w:id="38"/>
      <w:bookmarkEnd w:id="39"/>
      <w:bookmarkEnd w:id="40"/>
      <w:bookmarkEnd w:id="41"/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9.1. Ogólne ustalenia dotyczące podstawy płatności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ustalenia dotyczące podstawy płatności podano w OST D-M-00.00.00  „Wymagania ogólne” [1] pkt 9.</w:t>
      </w:r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9.2. Cena jednostki obmiarowej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Cena ustawienia </w:t>
      </w:r>
      <w:smartTag w:uri="urn:schemas-microsoft-com:office:smarttags" w:element="metricconverter">
        <w:smartTagPr>
          <w:attr w:name="ProductID" w:val="1 m"/>
        </w:smartTagPr>
        <w:r w:rsidRPr="005C6760"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  <w:t>1 m</w:t>
        </w:r>
      </w:smartTag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krawężnika obejmuje:</w:t>
      </w:r>
    </w:p>
    <w:p w:rsidR="005C6760" w:rsidRPr="005C6760" w:rsidRDefault="005C6760" w:rsidP="005C6760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prace pomiarowe i roboty przygotowawcze,</w:t>
      </w:r>
    </w:p>
    <w:p w:rsidR="005C6760" w:rsidRPr="005C6760" w:rsidRDefault="005C6760" w:rsidP="005C6760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oznakowanie robót,</w:t>
      </w:r>
    </w:p>
    <w:p w:rsidR="005C6760" w:rsidRPr="005C6760" w:rsidRDefault="005C6760" w:rsidP="005C6760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przygotowanie podłoża,</w:t>
      </w:r>
    </w:p>
    <w:p w:rsidR="005C6760" w:rsidRPr="005C6760" w:rsidRDefault="005C6760" w:rsidP="005C6760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dostarczenie materiałów i sprzętu,</w:t>
      </w:r>
    </w:p>
    <w:p w:rsidR="005C6760" w:rsidRPr="005C6760" w:rsidRDefault="005C6760" w:rsidP="005C6760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wykonanie koryta pod ławę,</w:t>
      </w:r>
    </w:p>
    <w:p w:rsidR="005C6760" w:rsidRPr="005C6760" w:rsidRDefault="005C6760" w:rsidP="005C6760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wykonanie ławy z ewentualnym wykonaniem szalunku i zalaniem szczelin dylatacyjnych,</w:t>
      </w:r>
    </w:p>
    <w:p w:rsidR="005C6760" w:rsidRPr="005C6760" w:rsidRDefault="005C6760" w:rsidP="005C6760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wykonanie podsypki,</w:t>
      </w:r>
    </w:p>
    <w:p w:rsidR="005C6760" w:rsidRPr="005C6760" w:rsidRDefault="005C6760" w:rsidP="005C6760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ustawienie krawężników z wypełnieniem spoin i zalaniem szczelin według wymagań dokumentacji projektowej, SST i specyfikacji technicznej,</w:t>
      </w:r>
    </w:p>
    <w:p w:rsidR="005C6760" w:rsidRPr="005C6760" w:rsidRDefault="005C6760" w:rsidP="005C6760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przeprowadzenie pomiarów i badań wymaganych w specyfikacji technicznej,</w:t>
      </w:r>
    </w:p>
    <w:p w:rsidR="005C6760" w:rsidRPr="005C6760" w:rsidRDefault="005C6760" w:rsidP="005C6760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odwiezienie sprzętu.</w:t>
      </w:r>
    </w:p>
    <w:p w:rsidR="00D176D4" w:rsidRDefault="00D176D4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9.3. Sposób rozliczenia robót tymczasowych i prac towarzyszących</w:t>
      </w:r>
    </w:p>
    <w:p w:rsidR="005C6760" w:rsidRPr="005C6760" w:rsidRDefault="005C6760" w:rsidP="005C67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Cena wykonania robót określonych niniejszą OST obejmuje:</w:t>
      </w:r>
    </w:p>
    <w:p w:rsidR="005C6760" w:rsidRPr="005C6760" w:rsidRDefault="005C6760" w:rsidP="005C6760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roboty tymczasowe, które są potrzebne do wykonania robót podstawowych, ale nie są przekazywane Zamawiającemu i są usuwane po wykonaniu robót podstawowych,</w:t>
      </w:r>
    </w:p>
    <w:p w:rsidR="005C6760" w:rsidRPr="005C6760" w:rsidRDefault="005C6760" w:rsidP="005C6760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>prace towarzyszące, które są niezbędne do wykonania robót podstawowych, niezaliczane do robót tymczasowych, jak geodezyjne wytyczenie robót itd.</w:t>
      </w:r>
    </w:p>
    <w:p w:rsidR="005C6760" w:rsidRPr="005C6760" w:rsidRDefault="005C6760" w:rsidP="005C6760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42" w:name="_Toc24955917"/>
      <w:bookmarkStart w:id="43" w:name="_Toc25041751"/>
      <w:bookmarkStart w:id="44" w:name="_Toc79371980"/>
      <w:bookmarkStart w:id="45" w:name="_Toc84648750"/>
      <w:bookmarkStart w:id="46" w:name="_Toc84822934"/>
      <w:bookmarkStart w:id="47" w:name="_Toc85259367"/>
      <w:bookmarkStart w:id="48" w:name="_Toc90274382"/>
      <w:bookmarkStart w:id="49" w:name="_Toc92608251"/>
      <w:bookmarkStart w:id="50" w:name="_Toc113935596"/>
      <w:bookmarkStart w:id="51" w:name="_Toc115670890"/>
      <w:bookmarkStart w:id="52" w:name="_Toc120590630"/>
      <w:bookmarkStart w:id="53" w:name="_Toc141072312"/>
      <w:bookmarkStart w:id="54" w:name="_Toc141496956"/>
      <w:r w:rsidRPr="005C6760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10. przepisy związane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10.1. Ogólne specyfikacje techniczne (OST)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127"/>
        <w:gridCol w:w="4677"/>
      </w:tblGrid>
      <w:tr w:rsidR="005C6760" w:rsidRPr="005C6760" w:rsidTr="005C6760">
        <w:tc>
          <w:tcPr>
            <w:tcW w:w="63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12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D-M-00.00.00</w:t>
            </w:r>
          </w:p>
        </w:tc>
        <w:tc>
          <w:tcPr>
            <w:tcW w:w="467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Wymagania ogólne</w:t>
            </w:r>
          </w:p>
        </w:tc>
      </w:tr>
      <w:tr w:rsidR="005C6760" w:rsidRPr="005C6760" w:rsidTr="005C6760">
        <w:tc>
          <w:tcPr>
            <w:tcW w:w="63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12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D-05.03.04a</w:t>
            </w:r>
          </w:p>
        </w:tc>
        <w:tc>
          <w:tcPr>
            <w:tcW w:w="467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Wypełnianie szczelin w nawierzchni z betonu cementowego</w:t>
            </w:r>
          </w:p>
        </w:tc>
      </w:tr>
    </w:tbl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10.2. Normy</w:t>
      </w:r>
    </w:p>
    <w:tbl>
      <w:tblPr>
        <w:tblW w:w="7479" w:type="dxa"/>
        <w:tblLook w:val="01E0" w:firstRow="1" w:lastRow="1" w:firstColumn="1" w:lastColumn="1" w:noHBand="0" w:noVBand="0"/>
      </w:tblPr>
      <w:tblGrid>
        <w:gridCol w:w="675"/>
        <w:gridCol w:w="2127"/>
        <w:gridCol w:w="4677"/>
      </w:tblGrid>
      <w:tr w:rsidR="005C6760" w:rsidRPr="005C6760" w:rsidTr="005C6760">
        <w:tc>
          <w:tcPr>
            <w:tcW w:w="675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12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PN-EN 197-1:2002</w:t>
            </w:r>
          </w:p>
        </w:tc>
        <w:tc>
          <w:tcPr>
            <w:tcW w:w="467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Cement. Część 1: Skład, wymagania i kryteria zgodności dotyczące cementu powszechnego użytku</w:t>
            </w:r>
          </w:p>
        </w:tc>
      </w:tr>
      <w:tr w:rsidR="005C6760" w:rsidRPr="005C6760" w:rsidTr="005C6760">
        <w:tc>
          <w:tcPr>
            <w:tcW w:w="675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212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PN-EN 206-1:2003</w:t>
            </w:r>
          </w:p>
        </w:tc>
        <w:tc>
          <w:tcPr>
            <w:tcW w:w="467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Beton. Część 1: Wymagania, właściwości, produkcja i zgodność</w:t>
            </w:r>
          </w:p>
        </w:tc>
      </w:tr>
      <w:tr w:rsidR="005C6760" w:rsidRPr="005C6760" w:rsidTr="005C6760">
        <w:tc>
          <w:tcPr>
            <w:tcW w:w="675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212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PN-EN 1340:2004  </w:t>
            </w:r>
            <w:proofErr w:type="spellStart"/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i</w:t>
            </w:r>
            <w:proofErr w:type="spellEnd"/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 xml:space="preserve"> PN-EN 1340:2004/AC</w:t>
            </w:r>
          </w:p>
        </w:tc>
        <w:tc>
          <w:tcPr>
            <w:tcW w:w="467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Krawężniki betonowe. Wymagania i metody badań</w:t>
            </w:r>
          </w:p>
        </w:tc>
      </w:tr>
      <w:tr w:rsidR="005C6760" w:rsidRPr="005C6760" w:rsidTr="005C6760">
        <w:tc>
          <w:tcPr>
            <w:tcW w:w="675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212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PN-88/B-06250</w:t>
            </w:r>
          </w:p>
        </w:tc>
        <w:tc>
          <w:tcPr>
            <w:tcW w:w="467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Beton zwykły</w:t>
            </w:r>
          </w:p>
        </w:tc>
      </w:tr>
      <w:tr w:rsidR="005C6760" w:rsidRPr="005C6760" w:rsidTr="005C6760">
        <w:tc>
          <w:tcPr>
            <w:tcW w:w="675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212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PN-63/B-06251</w:t>
            </w:r>
          </w:p>
        </w:tc>
        <w:tc>
          <w:tcPr>
            <w:tcW w:w="467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Roboty betonowe i żelbetowe</w:t>
            </w:r>
          </w:p>
        </w:tc>
      </w:tr>
      <w:tr w:rsidR="005C6760" w:rsidRPr="005C6760" w:rsidTr="005C6760">
        <w:tc>
          <w:tcPr>
            <w:tcW w:w="675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212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PN-B-11111:1996</w:t>
            </w:r>
          </w:p>
        </w:tc>
        <w:tc>
          <w:tcPr>
            <w:tcW w:w="467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Kruszywa mineralne. Kruszywa naturalne do nawierzchni drogowych. Żwir i mieszanka</w:t>
            </w:r>
          </w:p>
        </w:tc>
      </w:tr>
      <w:tr w:rsidR="005C6760" w:rsidRPr="005C6760" w:rsidTr="005C6760">
        <w:tc>
          <w:tcPr>
            <w:tcW w:w="675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212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PN-B-11112:1996</w:t>
            </w:r>
          </w:p>
        </w:tc>
        <w:tc>
          <w:tcPr>
            <w:tcW w:w="467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Kruszywa mineralne. Kruszywo łamane do nawierzchni drogowych</w:t>
            </w:r>
          </w:p>
        </w:tc>
      </w:tr>
      <w:tr w:rsidR="005C6760" w:rsidRPr="005C6760" w:rsidTr="005C6760">
        <w:tc>
          <w:tcPr>
            <w:tcW w:w="675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212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PN-B-11113:1996</w:t>
            </w:r>
          </w:p>
        </w:tc>
        <w:tc>
          <w:tcPr>
            <w:tcW w:w="467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Kruszywa mineralne. Kruszywa naturalne do nawierzchni drogowych. Piasek</w:t>
            </w:r>
          </w:p>
        </w:tc>
      </w:tr>
      <w:tr w:rsidR="005C6760" w:rsidRPr="005C6760" w:rsidTr="005C6760">
        <w:tc>
          <w:tcPr>
            <w:tcW w:w="675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212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PN-88/B-32250</w:t>
            </w:r>
          </w:p>
        </w:tc>
        <w:tc>
          <w:tcPr>
            <w:tcW w:w="467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Materiały budowlane. Woda do betonów i zapraw</w:t>
            </w:r>
          </w:p>
        </w:tc>
      </w:tr>
      <w:tr w:rsidR="005C6760" w:rsidRPr="005C6760" w:rsidTr="005C6760">
        <w:tc>
          <w:tcPr>
            <w:tcW w:w="675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12.</w:t>
            </w:r>
          </w:p>
        </w:tc>
        <w:tc>
          <w:tcPr>
            <w:tcW w:w="212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BN-88/6731-08</w:t>
            </w:r>
          </w:p>
        </w:tc>
        <w:tc>
          <w:tcPr>
            <w:tcW w:w="4677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Cement. Transport i przechowywanie</w:t>
            </w:r>
          </w:p>
        </w:tc>
      </w:tr>
    </w:tbl>
    <w:p w:rsidR="005C6760" w:rsidRPr="005C6760" w:rsidRDefault="005C6760" w:rsidP="005C6760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10.3. Inne dokumenty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75"/>
        <w:gridCol w:w="6804"/>
      </w:tblGrid>
      <w:tr w:rsidR="005C6760" w:rsidRPr="005C6760" w:rsidTr="005C6760">
        <w:tc>
          <w:tcPr>
            <w:tcW w:w="675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13.</w:t>
            </w:r>
          </w:p>
        </w:tc>
        <w:tc>
          <w:tcPr>
            <w:tcW w:w="6804" w:type="dxa"/>
          </w:tcPr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C676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Katalog szczegółów drogowych ulic, placów i parków miejskich, Centrum Techniki Budownictwa Komunalnego, Warszawa 1987</w:t>
            </w:r>
          </w:p>
          <w:p w:rsidR="005C6760" w:rsidRPr="005C6760" w:rsidRDefault="005C6760" w:rsidP="005C67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5C6760" w:rsidRPr="005C6760" w:rsidRDefault="00DD02EE" w:rsidP="00DD02E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C67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</w:p>
    <w:p w:rsidR="00B347AF" w:rsidRPr="005C6760" w:rsidRDefault="00B347AF" w:rsidP="005C6760">
      <w:pPr>
        <w:rPr>
          <w:szCs w:val="24"/>
        </w:rPr>
      </w:pPr>
    </w:p>
    <w:sectPr w:rsidR="00B347AF" w:rsidRPr="005C6760" w:rsidSect="00F8368B">
      <w:headerReference w:type="even" r:id="rId8"/>
      <w:footerReference w:type="default" r:id="rId9"/>
      <w:pgSz w:w="11907" w:h="16840" w:code="9"/>
      <w:pgMar w:top="1418" w:right="850" w:bottom="1560" w:left="2268" w:header="2268" w:footer="0" w:gutter="0"/>
      <w:pgNumType w:start="204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970" w:rsidRDefault="00E50970" w:rsidP="005C6760">
      <w:pPr>
        <w:spacing w:after="0" w:line="240" w:lineRule="auto"/>
      </w:pPr>
      <w:r>
        <w:separator/>
      </w:r>
    </w:p>
  </w:endnote>
  <w:endnote w:type="continuationSeparator" w:id="0">
    <w:p w:rsidR="00E50970" w:rsidRDefault="00E50970" w:rsidP="005C6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0771327"/>
      <w:docPartObj>
        <w:docPartGallery w:val="Page Numbers (Bottom of Page)"/>
        <w:docPartUnique/>
      </w:docPartObj>
    </w:sdtPr>
    <w:sdtEndPr/>
    <w:sdtContent>
      <w:p w:rsidR="00D64EED" w:rsidRDefault="00D64EE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368B">
          <w:rPr>
            <w:noProof/>
          </w:rPr>
          <w:t>211</w:t>
        </w:r>
        <w:r>
          <w:fldChar w:fldCharType="end"/>
        </w:r>
      </w:p>
    </w:sdtContent>
  </w:sdt>
  <w:p w:rsidR="00057647" w:rsidRDefault="0005764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970" w:rsidRDefault="00E50970" w:rsidP="005C6760">
      <w:pPr>
        <w:spacing w:after="0" w:line="240" w:lineRule="auto"/>
      </w:pPr>
      <w:r>
        <w:separator/>
      </w:r>
    </w:p>
  </w:footnote>
  <w:footnote w:type="continuationSeparator" w:id="0">
    <w:p w:rsidR="00E50970" w:rsidRDefault="00E50970" w:rsidP="005C67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760" w:rsidRDefault="005C6760">
    <w:pPr>
      <w:pStyle w:val="Nagwek"/>
      <w:rPr>
        <w:rFonts w:ascii="Times New Roman" w:hAnsi="Times New Roman"/>
        <w:sz w:val="20"/>
      </w:rPr>
    </w:pPr>
  </w:p>
  <w:tbl>
    <w:tblPr>
      <w:tblW w:w="0" w:type="auto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"/>
      <w:gridCol w:w="4819"/>
      <w:gridCol w:w="1769"/>
    </w:tblGrid>
    <w:tr w:rsidR="005C6760">
      <w:tc>
        <w:tcPr>
          <w:tcW w:w="921" w:type="dxa"/>
          <w:tcBorders>
            <w:bottom w:val="single" w:sz="6" w:space="0" w:color="auto"/>
          </w:tcBorders>
        </w:tcPr>
        <w:p w:rsidR="005C6760" w:rsidRDefault="00E63124">
          <w:pPr>
            <w:pStyle w:val="Nagwek"/>
            <w:spacing w:after="120"/>
            <w:rPr>
              <w:rFonts w:ascii="Times New Roman" w:hAnsi="Times New Roman"/>
              <w:sz w:val="20"/>
            </w:rPr>
          </w:pPr>
          <w:r>
            <w:rPr>
              <w:rStyle w:val="Numerstrony"/>
              <w:rFonts w:ascii="Times New Roman" w:hAnsi="Times New Roman"/>
              <w:sz w:val="20"/>
            </w:rPr>
            <w:fldChar w:fldCharType="begin"/>
          </w:r>
          <w:r w:rsidR="005C6760">
            <w:rPr>
              <w:rStyle w:val="Numerstrony"/>
              <w:rFonts w:ascii="Times New Roman" w:hAnsi="Times New Roman"/>
              <w:sz w:val="20"/>
            </w:rPr>
            <w:instrText xml:space="preserve"> PAGE </w:instrText>
          </w:r>
          <w:r>
            <w:rPr>
              <w:rStyle w:val="Numerstrony"/>
              <w:rFonts w:ascii="Times New Roman" w:hAnsi="Times New Roman"/>
              <w:sz w:val="20"/>
            </w:rPr>
            <w:fldChar w:fldCharType="separate"/>
          </w:r>
          <w:r w:rsidR="005C6760">
            <w:rPr>
              <w:rStyle w:val="Numerstrony"/>
              <w:rFonts w:ascii="Times New Roman" w:hAnsi="Times New Roman"/>
              <w:noProof/>
              <w:sz w:val="20"/>
            </w:rPr>
            <w:t>6</w:t>
          </w:r>
          <w:r>
            <w:rPr>
              <w:rStyle w:val="Numerstrony"/>
              <w:rFonts w:ascii="Times New Roman" w:hAnsi="Times New Roman"/>
              <w:sz w:val="20"/>
            </w:rPr>
            <w:fldChar w:fldCharType="end"/>
          </w:r>
        </w:p>
      </w:tc>
      <w:tc>
        <w:tcPr>
          <w:tcW w:w="4819" w:type="dxa"/>
        </w:tcPr>
        <w:p w:rsidR="005C6760" w:rsidRDefault="005C6760">
          <w:pPr>
            <w:pStyle w:val="Nagwek"/>
            <w:jc w:val="right"/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i/>
              <w:sz w:val="20"/>
            </w:rPr>
            <w:t>Ustawienie krawężników betonowych</w:t>
          </w:r>
        </w:p>
      </w:tc>
      <w:tc>
        <w:tcPr>
          <w:tcW w:w="1769" w:type="dxa"/>
        </w:tcPr>
        <w:p w:rsidR="005C6760" w:rsidRDefault="005C6760">
          <w:pPr>
            <w:pStyle w:val="Nagwek"/>
            <w:jc w:val="right"/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i/>
              <w:sz w:val="20"/>
            </w:rPr>
            <w:t>D-08.01.01b</w:t>
          </w:r>
        </w:p>
      </w:tc>
    </w:tr>
  </w:tbl>
  <w:p w:rsidR="005C6760" w:rsidRDefault="005C6760">
    <w:pPr>
      <w:pStyle w:val="Nagwek"/>
      <w:rPr>
        <w:rFonts w:ascii="Times New Roman" w:hAnsi="Times New Roman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ABAA674"/>
    <w:lvl w:ilvl="0">
      <w:numFmt w:val="bullet"/>
      <w:lvlText w:val="*"/>
      <w:lvlJc w:val="left"/>
    </w:lvl>
  </w:abstractNum>
  <w:abstractNum w:abstractNumId="1">
    <w:nsid w:val="00893160"/>
    <w:multiLevelType w:val="hybridMultilevel"/>
    <w:tmpl w:val="3D3C9984"/>
    <w:lvl w:ilvl="0" w:tplc="D1EE44EA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14D8E6FA">
      <w:start w:val="1"/>
      <w:numFmt w:val="lowerLetter"/>
      <w:lvlText w:val="%2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EC4420"/>
    <w:multiLevelType w:val="hybridMultilevel"/>
    <w:tmpl w:val="8E34CB6A"/>
    <w:lvl w:ilvl="0" w:tplc="D1EE44EA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B049FA"/>
    <w:multiLevelType w:val="hybridMultilevel"/>
    <w:tmpl w:val="67ACA7A0"/>
    <w:lvl w:ilvl="0" w:tplc="0D0CF13E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2678D6"/>
    <w:multiLevelType w:val="hybridMultilevel"/>
    <w:tmpl w:val="00ECA95A"/>
    <w:lvl w:ilvl="0" w:tplc="57DE4F6A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202B7F"/>
    <w:multiLevelType w:val="hybridMultilevel"/>
    <w:tmpl w:val="D6A87150"/>
    <w:lvl w:ilvl="0" w:tplc="0D0CF13E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E12591"/>
    <w:multiLevelType w:val="multilevel"/>
    <w:tmpl w:val="D7F43956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7">
    <w:nsid w:val="2E7029AB"/>
    <w:multiLevelType w:val="hybridMultilevel"/>
    <w:tmpl w:val="5F3A9EA8"/>
    <w:lvl w:ilvl="0" w:tplc="FE1AC52A">
      <w:start w:val="1"/>
      <w:numFmt w:val="lowerLetter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5A6459"/>
    <w:multiLevelType w:val="hybridMultilevel"/>
    <w:tmpl w:val="1016650E"/>
    <w:lvl w:ilvl="0" w:tplc="0D0CF13E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635AA4"/>
    <w:multiLevelType w:val="singleLevel"/>
    <w:tmpl w:val="FBC663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0">
    <w:nsid w:val="4A1A7963"/>
    <w:multiLevelType w:val="hybridMultilevel"/>
    <w:tmpl w:val="1660B26E"/>
    <w:lvl w:ilvl="0" w:tplc="25965FB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F8B132F"/>
    <w:multiLevelType w:val="hybridMultilevel"/>
    <w:tmpl w:val="271CB0A0"/>
    <w:lvl w:ilvl="0" w:tplc="686EDFF4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11B6A06"/>
    <w:multiLevelType w:val="hybridMultilevel"/>
    <w:tmpl w:val="7A7EC7F8"/>
    <w:lvl w:ilvl="0" w:tplc="FAD6A726">
      <w:start w:val="1"/>
      <w:numFmt w:val="bullet"/>
      <w:lvlText w:val="–"/>
      <w:lvlJc w:val="left"/>
      <w:pPr>
        <w:tabs>
          <w:tab w:val="num" w:pos="453"/>
        </w:tabs>
        <w:ind w:left="453" w:hanging="17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3">
    <w:nsid w:val="714B1872"/>
    <w:multiLevelType w:val="hybridMultilevel"/>
    <w:tmpl w:val="E19A4E66"/>
    <w:lvl w:ilvl="0" w:tplc="0E2887C4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56E5223"/>
    <w:multiLevelType w:val="hybridMultilevel"/>
    <w:tmpl w:val="B46E5782"/>
    <w:lvl w:ilvl="0" w:tplc="28024654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66F5938"/>
    <w:multiLevelType w:val="hybridMultilevel"/>
    <w:tmpl w:val="FE6E5652"/>
    <w:lvl w:ilvl="0" w:tplc="28024654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EB9577B"/>
    <w:multiLevelType w:val="hybridMultilevel"/>
    <w:tmpl w:val="AB78C478"/>
    <w:lvl w:ilvl="0" w:tplc="FAD6A726">
      <w:start w:val="1"/>
      <w:numFmt w:val="bullet"/>
      <w:lvlText w:val="–"/>
      <w:lvlJc w:val="left"/>
      <w:pPr>
        <w:tabs>
          <w:tab w:val="num" w:pos="453"/>
        </w:tabs>
        <w:ind w:left="453" w:hanging="17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11"/>
  </w:num>
  <w:num w:numId="4">
    <w:abstractNumId w:val="8"/>
  </w:num>
  <w:num w:numId="5">
    <w:abstractNumId w:val="3"/>
  </w:num>
  <w:num w:numId="6">
    <w:abstractNumId w:val="5"/>
  </w:num>
  <w:num w:numId="7">
    <w:abstractNumId w:val="16"/>
  </w:num>
  <w:num w:numId="8">
    <w:abstractNumId w:val="12"/>
  </w:num>
  <w:num w:numId="9">
    <w:abstractNumId w:val="6"/>
  </w:num>
  <w:num w:numId="10">
    <w:abstractNumId w:val="7"/>
  </w:num>
  <w:num w:numId="11">
    <w:abstractNumId w:val="13"/>
  </w:num>
  <w:num w:numId="12">
    <w:abstractNumId w:val="9"/>
  </w:num>
  <w:num w:numId="13">
    <w:abstractNumId w:val="14"/>
  </w:num>
  <w:num w:numId="14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15">
    <w:abstractNumId w:val="15"/>
  </w:num>
  <w:num w:numId="16">
    <w:abstractNumId w:val="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7AF"/>
    <w:rsid w:val="00020BAA"/>
    <w:rsid w:val="00057647"/>
    <w:rsid w:val="00070641"/>
    <w:rsid w:val="000A45AB"/>
    <w:rsid w:val="000D155B"/>
    <w:rsid w:val="00233DEA"/>
    <w:rsid w:val="002F4691"/>
    <w:rsid w:val="00340376"/>
    <w:rsid w:val="004E571A"/>
    <w:rsid w:val="0050619B"/>
    <w:rsid w:val="0051530A"/>
    <w:rsid w:val="0055147A"/>
    <w:rsid w:val="005C6760"/>
    <w:rsid w:val="0067442A"/>
    <w:rsid w:val="006D400B"/>
    <w:rsid w:val="007815C6"/>
    <w:rsid w:val="00860A5B"/>
    <w:rsid w:val="00892C59"/>
    <w:rsid w:val="00896AC5"/>
    <w:rsid w:val="00942FF8"/>
    <w:rsid w:val="009D3622"/>
    <w:rsid w:val="009F6995"/>
    <w:rsid w:val="00B347AF"/>
    <w:rsid w:val="00D176D4"/>
    <w:rsid w:val="00D2367D"/>
    <w:rsid w:val="00D31D7C"/>
    <w:rsid w:val="00D64EED"/>
    <w:rsid w:val="00DD02EE"/>
    <w:rsid w:val="00DF3082"/>
    <w:rsid w:val="00E23308"/>
    <w:rsid w:val="00E50970"/>
    <w:rsid w:val="00E63124"/>
    <w:rsid w:val="00E741A2"/>
    <w:rsid w:val="00E90214"/>
    <w:rsid w:val="00EC3C9C"/>
    <w:rsid w:val="00F83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0214"/>
  </w:style>
  <w:style w:type="paragraph" w:styleId="Nagwek1">
    <w:name w:val="heading 1"/>
    <w:basedOn w:val="Normalny"/>
    <w:link w:val="Nagwek1Znak"/>
    <w:uiPriority w:val="9"/>
    <w:qFormat/>
    <w:rsid w:val="00B347A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B347A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47A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347A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apple-converted-space">
    <w:name w:val="apple-converted-space"/>
    <w:basedOn w:val="Domylnaczcionkaakapitu"/>
    <w:rsid w:val="00B347AF"/>
  </w:style>
  <w:style w:type="character" w:styleId="Hipercze">
    <w:name w:val="Hyperlink"/>
    <w:basedOn w:val="Domylnaczcionkaakapitu"/>
    <w:uiPriority w:val="99"/>
    <w:semiHidden/>
    <w:unhideWhenUsed/>
    <w:rsid w:val="00B347AF"/>
    <w:rPr>
      <w:color w:val="0000FF"/>
      <w:u w:val="single"/>
    </w:rPr>
  </w:style>
  <w:style w:type="paragraph" w:styleId="Spistreci1">
    <w:name w:val="toc 1"/>
    <w:basedOn w:val="Normalny"/>
    <w:autoRedefine/>
    <w:uiPriority w:val="39"/>
    <w:semiHidden/>
    <w:unhideWhenUsed/>
    <w:rsid w:val="00E233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E23308"/>
    <w:rPr>
      <w:color w:val="800080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C67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6760"/>
  </w:style>
  <w:style w:type="character" w:styleId="Numerstrony">
    <w:name w:val="page number"/>
    <w:basedOn w:val="Domylnaczcionkaakapitu"/>
    <w:rsid w:val="005C6760"/>
  </w:style>
  <w:style w:type="paragraph" w:styleId="Tekstdymka">
    <w:name w:val="Balloon Text"/>
    <w:basedOn w:val="Normalny"/>
    <w:link w:val="TekstdymkaZnak"/>
    <w:uiPriority w:val="99"/>
    <w:semiHidden/>
    <w:unhideWhenUsed/>
    <w:rsid w:val="005C6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6760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5C67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67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8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1042">
          <w:marLeft w:val="0"/>
          <w:marRight w:val="0"/>
          <w:marTop w:val="0"/>
          <w:marBottom w:val="0"/>
          <w:divBdr>
            <w:top w:val="single" w:sz="4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08981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3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33970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706058891">
          <w:marLeft w:val="0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3029</Words>
  <Characters>18175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Bakalarski</dc:creator>
  <cp:keywords/>
  <dc:description/>
  <cp:lastModifiedBy>Jerzy Bakalarski</cp:lastModifiedBy>
  <cp:revision>18</cp:revision>
  <dcterms:created xsi:type="dcterms:W3CDTF">2017-01-28T19:54:00Z</dcterms:created>
  <dcterms:modified xsi:type="dcterms:W3CDTF">2023-12-17T16:14:00Z</dcterms:modified>
</cp:coreProperties>
</file>